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7A08" w14:textId="5822A747" w:rsidR="00BC0FA8" w:rsidRDefault="00BC0FA8" w:rsidP="006C12C0">
      <w:pPr>
        <w:jc w:val="cente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noProof/>
          <w:lang w:eastAsia="en-GB"/>
        </w:rPr>
        <mc:AlternateContent>
          <mc:Choice Requires="wps">
            <w:drawing>
              <wp:anchor distT="0" distB="0" distL="114300" distR="114300" simplePos="0" relativeHeight="251671040" behindDoc="0" locked="0" layoutInCell="1" allowOverlap="1" wp14:anchorId="4478384B" wp14:editId="0B39840D">
                <wp:simplePos x="0" y="0"/>
                <wp:positionH relativeFrom="margin">
                  <wp:align>center</wp:align>
                </wp:positionH>
                <wp:positionV relativeFrom="paragraph">
                  <wp:posOffset>-438150</wp:posOffset>
                </wp:positionV>
                <wp:extent cx="6562091" cy="9591675"/>
                <wp:effectExtent l="38100" t="38100" r="29210" b="47625"/>
                <wp:wrapNone/>
                <wp:docPr id="2" name="Text Box 2"/>
                <wp:cNvGraphicFramePr/>
                <a:graphic xmlns:a="http://schemas.openxmlformats.org/drawingml/2006/main">
                  <a:graphicData uri="http://schemas.microsoft.com/office/word/2010/wordprocessingShape">
                    <wps:wsp>
                      <wps:cNvSpPr txBox="1"/>
                      <wps:spPr>
                        <a:xfrm>
                          <a:off x="0" y="0"/>
                          <a:ext cx="6562091" cy="9591675"/>
                        </a:xfrm>
                        <a:prstGeom prst="rect">
                          <a:avLst/>
                        </a:prstGeom>
                        <a:solidFill>
                          <a:srgbClr val="FFFFFF"/>
                        </a:solidFill>
                        <a:ln w="66678" cmpd="dbl">
                          <a:solidFill>
                            <a:srgbClr val="000000"/>
                          </a:solidFill>
                          <a:prstDash val="solid"/>
                        </a:ln>
                      </wps:spPr>
                      <wps:txbx>
                        <w:txbxContent>
                          <w:p w14:paraId="739850D7" w14:textId="77777777" w:rsidR="00BC0FA8" w:rsidRDefault="00BC0FA8" w:rsidP="00BC0FA8"/>
                          <w:p w14:paraId="3562320E" w14:textId="77777777" w:rsidR="00BC0FA8" w:rsidRDefault="00BC0FA8" w:rsidP="00BC0FA8">
                            <w:pPr>
                              <w:jc w:val="center"/>
                            </w:pPr>
                            <w:r>
                              <w:rPr>
                                <w:noProof/>
                                <w:lang w:eastAsia="en-GB"/>
                              </w:rPr>
                              <w:drawing>
                                <wp:inline distT="0" distB="0" distL="0" distR="0" wp14:anchorId="044492CE" wp14:editId="55C0950B">
                                  <wp:extent cx="5524503" cy="3905246"/>
                                  <wp:effectExtent l="0" t="0" r="0" b="4"/>
                                  <wp:docPr id="3"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132716EF" w14:textId="77777777" w:rsidR="00BC0FA8" w:rsidRDefault="00BC0FA8" w:rsidP="00BC0FA8">
                            <w:pPr>
                              <w:jc w:val="center"/>
                              <w:rPr>
                                <w:b/>
                                <w:sz w:val="80"/>
                                <w:szCs w:val="80"/>
                              </w:rPr>
                            </w:pPr>
                            <w:r>
                              <w:rPr>
                                <w:b/>
                                <w:sz w:val="80"/>
                                <w:szCs w:val="80"/>
                              </w:rPr>
                              <w:t>Policy: Mathematics</w:t>
                            </w:r>
                          </w:p>
                          <w:p w14:paraId="5DA78C1D" w14:textId="77777777" w:rsidR="00BC0FA8" w:rsidRDefault="00BC0FA8" w:rsidP="00BC0FA8">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BC0FA8" w14:paraId="39C2F9AB"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4B3" w14:textId="77777777" w:rsidR="00BC0FA8" w:rsidRDefault="00BC0FA8">
                                  <w:pPr>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7E402" w14:textId="415290AC" w:rsidR="00BC0FA8" w:rsidRDefault="00F15B17">
                                  <w:pPr>
                                    <w:jc w:val="center"/>
                                    <w:rPr>
                                      <w:b/>
                                      <w:sz w:val="40"/>
                                      <w:szCs w:val="40"/>
                                    </w:rPr>
                                  </w:pPr>
                                  <w:r>
                                    <w:rPr>
                                      <w:b/>
                                      <w:sz w:val="40"/>
                                      <w:szCs w:val="40"/>
                                    </w:rPr>
                                    <w:t>September</w:t>
                                  </w:r>
                                  <w:r w:rsidR="00BC0FA8">
                                    <w:rPr>
                                      <w:b/>
                                      <w:sz w:val="40"/>
                                      <w:szCs w:val="40"/>
                                    </w:rPr>
                                    <w:t xml:space="preserve"> 202</w:t>
                                  </w:r>
                                  <w:r w:rsidR="00D26723">
                                    <w:rPr>
                                      <w:b/>
                                      <w:sz w:val="40"/>
                                      <w:szCs w:val="40"/>
                                    </w:rPr>
                                    <w:t>5</w:t>
                                  </w:r>
                                </w:p>
                              </w:tc>
                            </w:tr>
                            <w:tr w:rsidR="00BC0FA8" w14:paraId="74ACA5FF"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DFE7" w14:textId="77777777" w:rsidR="00BC0FA8" w:rsidRDefault="00BC0FA8">
                                  <w:pPr>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A5F09" w14:textId="77777777" w:rsidR="00BC0FA8" w:rsidRDefault="00BC0FA8">
                                  <w:pPr>
                                    <w:jc w:val="center"/>
                                  </w:pPr>
                                  <w:r>
                                    <w:rPr>
                                      <w:b/>
                                      <w:sz w:val="40"/>
                                      <w:szCs w:val="40"/>
                                    </w:rPr>
                                    <w:t>L Jones</w:t>
                                  </w:r>
                                </w:p>
                              </w:tc>
                            </w:tr>
                            <w:tr w:rsidR="00BC0FA8" w14:paraId="2FD22E6D"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1DA7" w14:textId="77777777" w:rsidR="00BC0FA8" w:rsidRDefault="00BC0FA8">
                                  <w:pPr>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4671" w14:textId="5FFC293B" w:rsidR="00BC0FA8" w:rsidRDefault="00F15B17">
                                  <w:pPr>
                                    <w:jc w:val="center"/>
                                  </w:pPr>
                                  <w:r>
                                    <w:rPr>
                                      <w:b/>
                                      <w:sz w:val="40"/>
                                      <w:szCs w:val="40"/>
                                    </w:rPr>
                                    <w:t>September</w:t>
                                  </w:r>
                                  <w:r w:rsidR="00BC0FA8">
                                    <w:rPr>
                                      <w:b/>
                                      <w:sz w:val="40"/>
                                      <w:szCs w:val="40"/>
                                    </w:rPr>
                                    <w:t xml:space="preserve"> 202</w:t>
                                  </w:r>
                                  <w:r w:rsidR="00D26723">
                                    <w:rPr>
                                      <w:b/>
                                      <w:sz w:val="40"/>
                                      <w:szCs w:val="40"/>
                                    </w:rPr>
                                    <w:t>6</w:t>
                                  </w:r>
                                </w:p>
                              </w:tc>
                            </w:tr>
                          </w:tbl>
                          <w:p w14:paraId="2D4BC91E" w14:textId="77777777" w:rsidR="00BC0FA8" w:rsidRDefault="00BC0FA8" w:rsidP="00BC0FA8">
                            <w:pPr>
                              <w:jc w:val="center"/>
                              <w:rPr>
                                <w:b/>
                                <w:sz w:val="80"/>
                                <w:szCs w:val="80"/>
                              </w:rPr>
                            </w:pPr>
                          </w:p>
                          <w:p w14:paraId="4F6F3C3E" w14:textId="77777777" w:rsidR="00BC0FA8" w:rsidRDefault="00BC0FA8" w:rsidP="00BC0FA8">
                            <w:pPr>
                              <w:jc w:val="center"/>
                              <w:rPr>
                                <w:b/>
                                <w:sz w:val="80"/>
                                <w:szCs w:val="80"/>
                              </w:rPr>
                            </w:pPr>
                          </w:p>
                          <w:p w14:paraId="79670723" w14:textId="77777777" w:rsidR="00BC0FA8" w:rsidRDefault="00BC0FA8" w:rsidP="00BC0FA8">
                            <w:pPr>
                              <w:jc w:val="center"/>
                              <w:rPr>
                                <w:b/>
                                <w:sz w:val="80"/>
                                <w:szCs w:val="80"/>
                              </w:rPr>
                            </w:pPr>
                          </w:p>
                          <w:p w14:paraId="0089CA25" w14:textId="77777777" w:rsidR="00BC0FA8" w:rsidRDefault="00BC0FA8" w:rsidP="00BC0FA8">
                            <w:pPr>
                              <w:jc w:val="center"/>
                              <w:rPr>
                                <w:b/>
                                <w:sz w:val="80"/>
                                <w:szCs w:val="80"/>
                              </w:rPr>
                            </w:pPr>
                          </w:p>
                          <w:p w14:paraId="411CADCE" w14:textId="77777777" w:rsidR="00BC0FA8" w:rsidRDefault="00BC0FA8" w:rsidP="00BC0FA8">
                            <w:pPr>
                              <w:jc w:val="center"/>
                              <w:rPr>
                                <w:sz w:val="60"/>
                                <w:szCs w:val="6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478384B" id="_x0000_t202" coordsize="21600,21600" o:spt="202" path="m,l,21600r21600,l21600,xe">
                <v:stroke joinstyle="miter"/>
                <v:path gradientshapeok="t" o:connecttype="rect"/>
              </v:shapetype>
              <v:shape id="Text Box 2" o:spid="_x0000_s1026" type="#_x0000_t202" style="position:absolute;left:0;text-align:left;margin-left:0;margin-top:-34.5pt;width:516.7pt;height:755.25pt;z-index:251671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" strokeweight="1.85217mm">
                <v:stroke linestyle="thinThin"/>
                <v:textbox>
                  <w:txbxContent>
                    <w:p w14:paraId="739850D7" w14:textId="77777777" w:rsidR="00BC0FA8" w:rsidRDefault="00BC0FA8" w:rsidP="00BC0FA8"/>
                    <w:p w14:paraId="3562320E" w14:textId="77777777" w:rsidR="00BC0FA8" w:rsidRDefault="00BC0FA8" w:rsidP="00BC0FA8">
                      <w:pPr>
                        <w:jc w:val="center"/>
                      </w:pPr>
                      <w:r>
                        <w:rPr>
                          <w:noProof/>
                          <w:lang w:eastAsia="en-GB"/>
                        </w:rPr>
                        <w:drawing>
                          <wp:inline distT="0" distB="0" distL="0" distR="0" wp14:anchorId="044492CE" wp14:editId="55C0950B">
                            <wp:extent cx="5524503" cy="3905246"/>
                            <wp:effectExtent l="0" t="0" r="0" b="4"/>
                            <wp:docPr id="3"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132716EF" w14:textId="77777777" w:rsidR="00BC0FA8" w:rsidRDefault="00BC0FA8" w:rsidP="00BC0FA8">
                      <w:pPr>
                        <w:jc w:val="center"/>
                        <w:rPr>
                          <w:b/>
                          <w:sz w:val="80"/>
                          <w:szCs w:val="80"/>
                        </w:rPr>
                      </w:pPr>
                      <w:r>
                        <w:rPr>
                          <w:b/>
                          <w:sz w:val="80"/>
                          <w:szCs w:val="80"/>
                        </w:rPr>
                        <w:t>Policy: Mathematics</w:t>
                      </w:r>
                    </w:p>
                    <w:p w14:paraId="5DA78C1D" w14:textId="77777777" w:rsidR="00BC0FA8" w:rsidRDefault="00BC0FA8" w:rsidP="00BC0FA8">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BC0FA8" w14:paraId="39C2F9AB"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4B3" w14:textId="77777777" w:rsidR="00BC0FA8" w:rsidRDefault="00BC0FA8">
                            <w:pPr>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7E402" w14:textId="415290AC" w:rsidR="00BC0FA8" w:rsidRDefault="00F15B17">
                            <w:pPr>
                              <w:jc w:val="center"/>
                              <w:rPr>
                                <w:b/>
                                <w:sz w:val="40"/>
                                <w:szCs w:val="40"/>
                              </w:rPr>
                            </w:pPr>
                            <w:r>
                              <w:rPr>
                                <w:b/>
                                <w:sz w:val="40"/>
                                <w:szCs w:val="40"/>
                              </w:rPr>
                              <w:t>September</w:t>
                            </w:r>
                            <w:r w:rsidR="00BC0FA8">
                              <w:rPr>
                                <w:b/>
                                <w:sz w:val="40"/>
                                <w:szCs w:val="40"/>
                              </w:rPr>
                              <w:t xml:space="preserve"> 202</w:t>
                            </w:r>
                            <w:r w:rsidR="00D26723">
                              <w:rPr>
                                <w:b/>
                                <w:sz w:val="40"/>
                                <w:szCs w:val="40"/>
                              </w:rPr>
                              <w:t>5</w:t>
                            </w:r>
                          </w:p>
                        </w:tc>
                      </w:tr>
                      <w:tr w:rsidR="00BC0FA8" w14:paraId="74ACA5FF"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DFE7" w14:textId="77777777" w:rsidR="00BC0FA8" w:rsidRDefault="00BC0FA8">
                            <w:pPr>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A5F09" w14:textId="77777777" w:rsidR="00BC0FA8" w:rsidRDefault="00BC0FA8">
                            <w:pPr>
                              <w:jc w:val="center"/>
                            </w:pPr>
                            <w:r>
                              <w:rPr>
                                <w:b/>
                                <w:sz w:val="40"/>
                                <w:szCs w:val="40"/>
                              </w:rPr>
                              <w:t>L Jones</w:t>
                            </w:r>
                          </w:p>
                        </w:tc>
                      </w:tr>
                      <w:tr w:rsidR="00BC0FA8" w14:paraId="2FD22E6D"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1DA7" w14:textId="77777777" w:rsidR="00BC0FA8" w:rsidRDefault="00BC0FA8">
                            <w:pPr>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4671" w14:textId="5FFC293B" w:rsidR="00BC0FA8" w:rsidRDefault="00F15B17">
                            <w:pPr>
                              <w:jc w:val="center"/>
                            </w:pPr>
                            <w:r>
                              <w:rPr>
                                <w:b/>
                                <w:sz w:val="40"/>
                                <w:szCs w:val="40"/>
                              </w:rPr>
                              <w:t>September</w:t>
                            </w:r>
                            <w:r w:rsidR="00BC0FA8">
                              <w:rPr>
                                <w:b/>
                                <w:sz w:val="40"/>
                                <w:szCs w:val="40"/>
                              </w:rPr>
                              <w:t xml:space="preserve"> 202</w:t>
                            </w:r>
                            <w:r w:rsidR="00D26723">
                              <w:rPr>
                                <w:b/>
                                <w:sz w:val="40"/>
                                <w:szCs w:val="40"/>
                              </w:rPr>
                              <w:t>6</w:t>
                            </w:r>
                          </w:p>
                        </w:tc>
                      </w:tr>
                    </w:tbl>
                    <w:p w14:paraId="2D4BC91E" w14:textId="77777777" w:rsidR="00BC0FA8" w:rsidRDefault="00BC0FA8" w:rsidP="00BC0FA8">
                      <w:pPr>
                        <w:jc w:val="center"/>
                        <w:rPr>
                          <w:b/>
                          <w:sz w:val="80"/>
                          <w:szCs w:val="80"/>
                        </w:rPr>
                      </w:pPr>
                    </w:p>
                    <w:p w14:paraId="4F6F3C3E" w14:textId="77777777" w:rsidR="00BC0FA8" w:rsidRDefault="00BC0FA8" w:rsidP="00BC0FA8">
                      <w:pPr>
                        <w:jc w:val="center"/>
                        <w:rPr>
                          <w:b/>
                          <w:sz w:val="80"/>
                          <w:szCs w:val="80"/>
                        </w:rPr>
                      </w:pPr>
                    </w:p>
                    <w:p w14:paraId="79670723" w14:textId="77777777" w:rsidR="00BC0FA8" w:rsidRDefault="00BC0FA8" w:rsidP="00BC0FA8">
                      <w:pPr>
                        <w:jc w:val="center"/>
                        <w:rPr>
                          <w:b/>
                          <w:sz w:val="80"/>
                          <w:szCs w:val="80"/>
                        </w:rPr>
                      </w:pPr>
                    </w:p>
                    <w:p w14:paraId="0089CA25" w14:textId="77777777" w:rsidR="00BC0FA8" w:rsidRDefault="00BC0FA8" w:rsidP="00BC0FA8">
                      <w:pPr>
                        <w:jc w:val="center"/>
                        <w:rPr>
                          <w:b/>
                          <w:sz w:val="80"/>
                          <w:szCs w:val="80"/>
                        </w:rPr>
                      </w:pPr>
                    </w:p>
                    <w:p w14:paraId="411CADCE" w14:textId="77777777" w:rsidR="00BC0FA8" w:rsidRDefault="00BC0FA8" w:rsidP="00BC0FA8">
                      <w:pPr>
                        <w:jc w:val="center"/>
                        <w:rPr>
                          <w:sz w:val="60"/>
                          <w:szCs w:val="60"/>
                        </w:rPr>
                      </w:pPr>
                    </w:p>
                  </w:txbxContent>
                </v:textbox>
                <w10:wrap anchorx="margin"/>
              </v:shape>
            </w:pict>
          </mc:Fallback>
        </mc:AlternateContent>
      </w:r>
    </w:p>
    <w:p w14:paraId="18184663" w14:textId="77777777" w:rsidR="00BC0FA8" w:rsidRPr="00BC0FA8" w:rsidRDefault="00BC0FA8" w:rsidP="00BC0FA8">
      <w:pPr>
        <w:rPr>
          <w:rFonts w:eastAsiaTheme="majorEastAsia" w:cs="Arial"/>
          <w:sz w:val="72"/>
          <w:szCs w:val="72"/>
          <w:lang w:eastAsia="ja-JP"/>
        </w:rPr>
      </w:pPr>
    </w:p>
    <w:p w14:paraId="1A09690C" w14:textId="77777777" w:rsidR="00BC0FA8" w:rsidRPr="00BC0FA8" w:rsidRDefault="00BC0FA8" w:rsidP="00BC0FA8">
      <w:pPr>
        <w:rPr>
          <w:rFonts w:eastAsiaTheme="majorEastAsia" w:cs="Arial"/>
          <w:sz w:val="72"/>
          <w:szCs w:val="72"/>
          <w:lang w:eastAsia="ja-JP"/>
        </w:rPr>
      </w:pPr>
    </w:p>
    <w:p w14:paraId="5183F3CB" w14:textId="77777777" w:rsidR="00BC0FA8" w:rsidRPr="00BC0FA8" w:rsidRDefault="00BC0FA8" w:rsidP="00BC0FA8">
      <w:pPr>
        <w:rPr>
          <w:rFonts w:eastAsiaTheme="majorEastAsia" w:cs="Arial"/>
          <w:sz w:val="72"/>
          <w:szCs w:val="72"/>
          <w:lang w:eastAsia="ja-JP"/>
        </w:rPr>
      </w:pPr>
    </w:p>
    <w:p w14:paraId="1A734277" w14:textId="4E2C8BFC" w:rsidR="00BC0FA8" w:rsidRDefault="00BC0FA8" w:rsidP="00BC0FA8">
      <w:pPr>
        <w:rPr>
          <w:rFonts w:eastAsiaTheme="majorEastAsia" w:cs="Arial"/>
          <w:sz w:val="72"/>
          <w:szCs w:val="72"/>
          <w:lang w:eastAsia="ja-JP"/>
        </w:rPr>
      </w:pPr>
    </w:p>
    <w:p w14:paraId="1E032933" w14:textId="7A505D85" w:rsidR="00BC0FA8" w:rsidRDefault="00BC0FA8" w:rsidP="00BC0FA8">
      <w:pPr>
        <w:rPr>
          <w:rFonts w:eastAsiaTheme="majorEastAsia" w:cs="Arial"/>
          <w:sz w:val="72"/>
          <w:szCs w:val="72"/>
          <w:lang w:eastAsia="ja-JP"/>
        </w:rPr>
      </w:pPr>
    </w:p>
    <w:p w14:paraId="2C43B91B" w14:textId="0DB0A0AE" w:rsidR="00A23725" w:rsidRPr="00EA743B" w:rsidRDefault="00A23725" w:rsidP="00BC0FA8">
      <w:pPr>
        <w:rPr>
          <w:rFonts w:eastAsiaTheme="majorEastAsia" w:cs="Arial"/>
          <w:b/>
          <w:color w:val="FF6900"/>
          <w:sz w:val="72"/>
          <w:szCs w:val="72"/>
          <w:u w:val="single"/>
          <w:lang w:eastAsia="ja-JP"/>
        </w:rPr>
      </w:pPr>
    </w:p>
    <w:p w14:paraId="3D2113AE" w14:textId="77777777" w:rsidR="00A23725" w:rsidRDefault="00A23725" w:rsidP="006C12C0">
      <w:pPr>
        <w:jc w:val="center"/>
        <w:rPr>
          <w:rFonts w:eastAsiaTheme="majorEastAsia" w:cs="Arial"/>
          <w:color w:val="000000" w:themeColor="text1"/>
          <w:sz w:val="72"/>
          <w:szCs w:val="72"/>
          <w:lang w:eastAsia="ja-JP"/>
        </w:rPr>
      </w:pPr>
    </w:p>
    <w:p w14:paraId="64730BD0" w14:textId="51B146C7" w:rsidR="00824FDF" w:rsidRDefault="00824FDF" w:rsidP="00A95D54">
      <w:pPr>
        <w:jc w:val="center"/>
        <w:rPr>
          <w:rFonts w:eastAsiaTheme="majorEastAsia" w:cs="Arial"/>
          <w:color w:val="000000" w:themeColor="text1"/>
          <w:sz w:val="72"/>
          <w:szCs w:val="80"/>
          <w:lang w:val="en-US" w:eastAsia="ja-JP"/>
        </w:rPr>
      </w:pPr>
    </w:p>
    <w:p w14:paraId="74EDD84A" w14:textId="77777777" w:rsidR="00A95D54" w:rsidRDefault="00A95D54" w:rsidP="00824FDF">
      <w:pPr>
        <w:rPr>
          <w:lang w:val="en-US" w:eastAsia="ja-JP"/>
        </w:rPr>
      </w:pPr>
    </w:p>
    <w:p w14:paraId="40ED5223" w14:textId="77777777" w:rsidR="00BC0FA8" w:rsidRDefault="00BC0FA8" w:rsidP="00BF3F57">
      <w:pPr>
        <w:rPr>
          <w:b/>
          <w:bCs/>
          <w:sz w:val="32"/>
          <w:szCs w:val="32"/>
        </w:rPr>
      </w:pPr>
    </w:p>
    <w:p w14:paraId="7E40F1F6" w14:textId="77777777" w:rsidR="00BC0FA8" w:rsidRDefault="00BC0FA8" w:rsidP="00BF3F57">
      <w:pPr>
        <w:rPr>
          <w:b/>
          <w:bCs/>
          <w:sz w:val="32"/>
          <w:szCs w:val="32"/>
        </w:rPr>
      </w:pPr>
    </w:p>
    <w:p w14:paraId="4479BA7A" w14:textId="77777777" w:rsidR="00BC0FA8" w:rsidRDefault="00BC0FA8" w:rsidP="00BF3F57">
      <w:pPr>
        <w:rPr>
          <w:b/>
          <w:bCs/>
          <w:sz w:val="32"/>
          <w:szCs w:val="32"/>
        </w:rPr>
      </w:pPr>
    </w:p>
    <w:p w14:paraId="7BBB016B" w14:textId="77777777" w:rsidR="00BC0FA8" w:rsidRDefault="00BC0FA8" w:rsidP="00BF3F57">
      <w:pPr>
        <w:rPr>
          <w:b/>
          <w:bCs/>
          <w:sz w:val="32"/>
          <w:szCs w:val="32"/>
        </w:rPr>
      </w:pPr>
    </w:p>
    <w:p w14:paraId="36AE2DA8" w14:textId="77777777" w:rsidR="00BC0FA8" w:rsidRDefault="00BC0FA8" w:rsidP="00BF3F57">
      <w:pPr>
        <w:rPr>
          <w:b/>
          <w:bCs/>
          <w:sz w:val="32"/>
          <w:szCs w:val="32"/>
        </w:rPr>
      </w:pPr>
    </w:p>
    <w:p w14:paraId="697E2EAC" w14:textId="503259DC" w:rsidR="008F5529" w:rsidRDefault="00A95D54" w:rsidP="00BF3F57">
      <w:pPr>
        <w:rPr>
          <w:b/>
          <w:bCs/>
          <w:sz w:val="32"/>
          <w:szCs w:val="32"/>
        </w:rPr>
      </w:pPr>
      <w:r w:rsidRPr="00000162">
        <w:rPr>
          <w:rFonts w:cs="Arial"/>
          <w:b/>
          <w:noProof/>
          <w:sz w:val="28"/>
          <w:szCs w:val="28"/>
          <w:lang w:eastAsia="en-GB"/>
        </w:rPr>
        <w:lastRenderedPageBreak/>
        <mc:AlternateContent>
          <mc:Choice Requires="wps">
            <w:drawing>
              <wp:anchor distT="45720" distB="45720" distL="114300" distR="114300" simplePos="0" relativeHeight="251668992" behindDoc="0" locked="0" layoutInCell="1" allowOverlap="1" wp14:anchorId="783C3011" wp14:editId="52309D8D">
                <wp:simplePos x="0" y="0"/>
                <wp:positionH relativeFrom="margin">
                  <wp:posOffset>0</wp:posOffset>
                </wp:positionH>
                <wp:positionV relativeFrom="paragraph">
                  <wp:posOffset>-139065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4A872DE0" w:rsidR="00D4425F" w:rsidRPr="003F31D0" w:rsidRDefault="00D4425F"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3011" id="_x0000_s1027" type="#_x0000_t202" style="position:absolute;left:0;text-align:left;margin-left:0;margin-top:-10.95pt;width:268.5pt;height:40.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7rIwIAACQ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" stroked="f">
                <v:textbox>
                  <w:txbxContent>
                    <w:p w14:paraId="36B98B0F" w14:textId="4A872DE0" w:rsidR="00D4425F" w:rsidRPr="003F31D0" w:rsidRDefault="00D4425F" w:rsidP="00A23725">
                      <w:pPr>
                        <w:rPr>
                          <w:rFonts w:cs="Arial"/>
                          <w:szCs w:val="24"/>
                        </w:rPr>
                      </w:pPr>
                    </w:p>
                  </w:txbxContent>
                </v:textbox>
                <w10:wrap type="square" anchorx="margin"/>
              </v:shape>
            </w:pict>
          </mc:Fallback>
        </mc:AlternateContent>
      </w:r>
    </w:p>
    <w:p w14:paraId="160C7D7D" w14:textId="77777777" w:rsidR="00BC0FA8" w:rsidRDefault="00BC0FA8" w:rsidP="00BF3F57">
      <w:pPr>
        <w:rPr>
          <w:b/>
          <w:bCs/>
          <w:sz w:val="32"/>
          <w:szCs w:val="32"/>
        </w:rPr>
      </w:pPr>
    </w:p>
    <w:p w14:paraId="15BB98F5" w14:textId="7938E094" w:rsidR="00A23725" w:rsidRPr="00F3505B" w:rsidRDefault="00A23725" w:rsidP="00BF3F57">
      <w:pPr>
        <w:rPr>
          <w:b/>
          <w:bCs/>
          <w:sz w:val="32"/>
          <w:szCs w:val="32"/>
        </w:rPr>
      </w:pPr>
      <w:r w:rsidRPr="00F3505B">
        <w:rPr>
          <w:b/>
          <w:bCs/>
          <w:sz w:val="32"/>
          <w:szCs w:val="32"/>
        </w:rPr>
        <w:t>Contents:</w:t>
      </w:r>
    </w:p>
    <w:bookmarkStart w:id="4" w:name="_Statement_of_intent_1"/>
    <w:bookmarkEnd w:id="4"/>
    <w:p w14:paraId="47A5778D" w14:textId="2B4EE6DE" w:rsidR="00A95D54" w:rsidRPr="00DA60BF" w:rsidRDefault="00A95D54" w:rsidP="00A95D54">
      <w:pPr>
        <w:spacing w:before="120" w:after="120" w:line="320" w:lineRule="exact"/>
        <w:ind w:left="360"/>
        <w:rPr>
          <w:rStyle w:val="Hyperlink"/>
        </w:rPr>
      </w:pPr>
      <w:r w:rsidRPr="00DA60BF">
        <w:rPr>
          <w:rStyle w:val="Hyperlink"/>
        </w:rPr>
        <w:fldChar w:fldCharType="begin"/>
      </w:r>
      <w:r w:rsidR="002367D1">
        <w:rPr>
          <w:rStyle w:val="Hyperlink"/>
        </w:rPr>
        <w:instrText>HYPERLINK  \l "_Statement_of_intent"</w:instrText>
      </w:r>
      <w:r w:rsidRPr="00DA60BF">
        <w:rPr>
          <w:rStyle w:val="Hyperlink"/>
        </w:rPr>
      </w:r>
      <w:r w:rsidRPr="00DA60BF">
        <w:rPr>
          <w:rStyle w:val="Hyperlink"/>
        </w:rPr>
        <w:fldChar w:fldCharType="separate"/>
      </w:r>
      <w:r w:rsidRPr="00DA60BF">
        <w:rPr>
          <w:rStyle w:val="Hyperlink"/>
        </w:rPr>
        <w:t>Statement of intent</w:t>
      </w:r>
    </w:p>
    <w:p w14:paraId="31E836E3" w14:textId="3ED94056" w:rsidR="00A95D54" w:rsidRPr="00DA60BF"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hyperlink w:anchor="_Legal_framework_1" w:history="1">
        <w:r w:rsidRPr="00840938">
          <w:rPr>
            <w:rStyle w:val="Hyperlink"/>
          </w:rPr>
          <w:t>Legal framework</w:t>
        </w:r>
      </w:hyperlink>
    </w:p>
    <w:p w14:paraId="348E7410" w14:textId="23B49207"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begin"/>
      </w:r>
      <w:r w:rsidR="002367D1">
        <w:rPr>
          <w:rStyle w:val="Hyperlink"/>
        </w:rPr>
        <w:instrText>HYPERLINK  \l "_Roles_and_responsibilities"</w:instrText>
      </w:r>
      <w:r w:rsidRPr="00DA60BF">
        <w:rPr>
          <w:rStyle w:val="Hyperlink"/>
        </w:rPr>
      </w:r>
      <w:r w:rsidRPr="00DA60BF">
        <w:rPr>
          <w:rStyle w:val="Hyperlink"/>
        </w:rPr>
        <w:fldChar w:fldCharType="separate"/>
      </w:r>
      <w:r w:rsidRPr="00840938">
        <w:rPr>
          <w:rStyle w:val="Hyperlink"/>
        </w:rPr>
        <w:t xml:space="preserve">Roles and responsibilities </w:t>
      </w:r>
    </w:p>
    <w:p w14:paraId="58075C3C" w14:textId="45AF27F2"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r w:rsidRPr="00DA60BF">
        <w:rPr>
          <w:rStyle w:val="Hyperlink"/>
        </w:rPr>
        <w:fldChar w:fldCharType="begin"/>
      </w:r>
      <w:r w:rsidR="002367D1">
        <w:rPr>
          <w:rStyle w:val="Hyperlink"/>
        </w:rPr>
        <w:instrText>HYPERLINK  \l "_The_national_curriculum"</w:instrText>
      </w:r>
      <w:r w:rsidRPr="00DA60BF">
        <w:rPr>
          <w:rStyle w:val="Hyperlink"/>
        </w:rPr>
      </w:r>
      <w:r w:rsidRPr="00DA60BF">
        <w:rPr>
          <w:rStyle w:val="Hyperlink"/>
        </w:rPr>
        <w:fldChar w:fldCharType="separate"/>
      </w:r>
      <w:r w:rsidRPr="00BB6B7D">
        <w:rPr>
          <w:rStyle w:val="Hyperlink"/>
        </w:rPr>
        <w:t>Early years provision</w:t>
      </w:r>
    </w:p>
    <w:p w14:paraId="2D6A3C25" w14:textId="272338FE"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r w:rsidRPr="00DA60BF">
        <w:rPr>
          <w:rStyle w:val="Hyperlink"/>
        </w:rPr>
        <w:fldChar w:fldCharType="begin"/>
      </w:r>
      <w:r w:rsidR="002367D1">
        <w:rPr>
          <w:rStyle w:val="Hyperlink"/>
        </w:rPr>
        <w:instrText>HYPERLINK  \l "_The_national_curriculum_1"</w:instrText>
      </w:r>
      <w:r w:rsidRPr="00DA60BF">
        <w:rPr>
          <w:rStyle w:val="Hyperlink"/>
        </w:rPr>
      </w:r>
      <w:r w:rsidRPr="00DA60BF">
        <w:rPr>
          <w:rStyle w:val="Hyperlink"/>
        </w:rPr>
        <w:fldChar w:fldCharType="separate"/>
      </w:r>
      <w:r w:rsidRPr="00BB6B7D">
        <w:rPr>
          <w:rStyle w:val="Hyperlink"/>
        </w:rPr>
        <w:t>The national curriculum</w:t>
      </w:r>
    </w:p>
    <w:p w14:paraId="5F9222D1" w14:textId="6DE29CD9"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r w:rsidRPr="00DA60BF">
        <w:rPr>
          <w:rStyle w:val="Hyperlink"/>
        </w:rPr>
        <w:fldChar w:fldCharType="begin"/>
      </w:r>
      <w:r w:rsidR="002367D1">
        <w:rPr>
          <w:rStyle w:val="Hyperlink"/>
        </w:rPr>
        <w:instrText>HYPERLINK  \l "_Cross-curricular_links_1"</w:instrText>
      </w:r>
      <w:r w:rsidRPr="00DA60BF">
        <w:rPr>
          <w:rStyle w:val="Hyperlink"/>
        </w:rPr>
      </w:r>
      <w:r w:rsidRPr="00DA60BF">
        <w:rPr>
          <w:rStyle w:val="Hyperlink"/>
        </w:rPr>
        <w:fldChar w:fldCharType="separate"/>
      </w:r>
      <w:r w:rsidRPr="00BB6B7D">
        <w:rPr>
          <w:rStyle w:val="Hyperlink"/>
        </w:rPr>
        <w:t>Cross-curricular links</w:t>
      </w:r>
    </w:p>
    <w:p w14:paraId="044EA1CB" w14:textId="29A81430"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r w:rsidRPr="00DA60BF">
        <w:rPr>
          <w:rStyle w:val="Hyperlink"/>
        </w:rPr>
        <w:fldChar w:fldCharType="begin"/>
      </w:r>
      <w:r w:rsidR="002367D1">
        <w:rPr>
          <w:rStyle w:val="Hyperlink"/>
        </w:rPr>
        <w:instrText>HYPERLINK  \l "_Teaching_and_learning"</w:instrText>
      </w:r>
      <w:r w:rsidRPr="00DA60BF">
        <w:rPr>
          <w:rStyle w:val="Hyperlink"/>
        </w:rPr>
      </w:r>
      <w:r w:rsidRPr="00DA60BF">
        <w:rPr>
          <w:rStyle w:val="Hyperlink"/>
        </w:rPr>
        <w:fldChar w:fldCharType="separate"/>
      </w:r>
      <w:r w:rsidRPr="00BB6B7D">
        <w:rPr>
          <w:rStyle w:val="Hyperlink"/>
        </w:rPr>
        <w:t>Teaching and learning</w:t>
      </w:r>
    </w:p>
    <w:p w14:paraId="57A19182" w14:textId="301B49E2" w:rsidR="00A95D54"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hyperlink w:anchor="_Planning" w:history="1">
        <w:r w:rsidRPr="00BB6B7D">
          <w:rPr>
            <w:rStyle w:val="Hyperlink"/>
          </w:rPr>
          <w:t>Planning</w:t>
        </w:r>
      </w:hyperlink>
    </w:p>
    <w:p w14:paraId="6C57FADF" w14:textId="77777777" w:rsidR="00A95D54" w:rsidRDefault="00A95D54" w:rsidP="00A95D54">
      <w:pPr>
        <w:pStyle w:val="ListParagraph"/>
        <w:numPr>
          <w:ilvl w:val="0"/>
          <w:numId w:val="1"/>
        </w:numPr>
        <w:spacing w:before="120" w:after="120" w:line="320" w:lineRule="exact"/>
        <w:ind w:left="1134" w:hanging="425"/>
        <w:rPr>
          <w:rStyle w:val="Hyperlink"/>
        </w:rPr>
      </w:pPr>
      <w:hyperlink w:anchor="_Assessment_and_reporting" w:history="1">
        <w:r w:rsidRPr="00B34178">
          <w:rPr>
            <w:rStyle w:val="Hyperlink"/>
          </w:rPr>
          <w:t>Assessment and reporting</w:t>
        </w:r>
      </w:hyperlink>
    </w:p>
    <w:p w14:paraId="06402444" w14:textId="21EE31C7" w:rsidR="00A95D54" w:rsidRDefault="00A95D54" w:rsidP="00A95D54">
      <w:pPr>
        <w:pStyle w:val="ListParagraph"/>
        <w:numPr>
          <w:ilvl w:val="0"/>
          <w:numId w:val="1"/>
        </w:numPr>
        <w:spacing w:before="120" w:after="120" w:line="320" w:lineRule="exact"/>
        <w:ind w:left="1134" w:hanging="425"/>
        <w:rPr>
          <w:rStyle w:val="Hyperlink"/>
        </w:rPr>
      </w:pPr>
      <w:hyperlink w:anchor="_Equipment_and_resources" w:history="1">
        <w:r w:rsidRPr="00B34178">
          <w:rPr>
            <w:rStyle w:val="Hyperlink"/>
          </w:rPr>
          <w:t>Resources</w:t>
        </w:r>
      </w:hyperlink>
    </w:p>
    <w:p w14:paraId="65BC03DE" w14:textId="49F86E7E" w:rsidR="00A95D54" w:rsidRDefault="00A95D54" w:rsidP="00A95D54">
      <w:pPr>
        <w:pStyle w:val="ListParagraph"/>
        <w:numPr>
          <w:ilvl w:val="0"/>
          <w:numId w:val="1"/>
        </w:numPr>
        <w:spacing w:before="120" w:after="120" w:line="320" w:lineRule="exact"/>
        <w:ind w:left="1134" w:hanging="501"/>
        <w:rPr>
          <w:rStyle w:val="Hyperlink"/>
        </w:rPr>
      </w:pPr>
      <w:hyperlink w:anchor="_Equal_opportunities_1" w:history="1">
        <w:r w:rsidRPr="00B34178">
          <w:rPr>
            <w:rStyle w:val="Hyperlink"/>
          </w:rPr>
          <w:t>Equal opportunities</w:t>
        </w:r>
      </w:hyperlink>
    </w:p>
    <w:p w14:paraId="78ED3A34" w14:textId="5AB3B163" w:rsidR="00A95D54" w:rsidRPr="00A95D54" w:rsidRDefault="00A95D54" w:rsidP="00A95D54">
      <w:pPr>
        <w:pStyle w:val="ListParagraph"/>
        <w:numPr>
          <w:ilvl w:val="0"/>
          <w:numId w:val="1"/>
        </w:numPr>
        <w:spacing w:before="120" w:after="120" w:line="320" w:lineRule="exact"/>
        <w:ind w:left="1134" w:hanging="501"/>
        <w:rPr>
          <w:rStyle w:val="Hyperlink"/>
          <w:color w:val="auto"/>
          <w:u w:val="none"/>
        </w:rPr>
      </w:pPr>
      <w:hyperlink w:anchor="_Monitoring_and_review_1" w:history="1">
        <w:r w:rsidRPr="00B34178">
          <w:rPr>
            <w:rStyle w:val="Hyperlink"/>
          </w:rPr>
          <w:t>Monitoring and review</w:t>
        </w:r>
      </w:hyperlink>
    </w:p>
    <w:p w14:paraId="19CEC347" w14:textId="607924B4" w:rsidR="00A95D54" w:rsidRDefault="00A95D54">
      <w:pPr>
        <w:spacing w:before="0"/>
        <w:jc w:val="left"/>
      </w:pPr>
      <w:r>
        <w:br w:type="page"/>
      </w:r>
    </w:p>
    <w:p w14:paraId="43603869" w14:textId="77777777" w:rsidR="00BF3F57" w:rsidRDefault="00A23725" w:rsidP="00C652E7">
      <w:pPr>
        <w:pStyle w:val="Heading10"/>
        <w:numPr>
          <w:ilvl w:val="0"/>
          <w:numId w:val="0"/>
        </w:numPr>
      </w:pPr>
      <w:bookmarkStart w:id="5" w:name="_Statement_of_intent"/>
      <w:bookmarkEnd w:id="5"/>
      <w:r w:rsidRPr="00BF3F57">
        <w:lastRenderedPageBreak/>
        <w:t>Statement of intent</w:t>
      </w:r>
    </w:p>
    <w:p w14:paraId="217AE40F" w14:textId="5AAE29E3" w:rsidR="00A95D54" w:rsidRDefault="00BC0FA8" w:rsidP="00A95D54">
      <w:r>
        <w:rPr>
          <w:b/>
          <w:color w:val="FF6900"/>
          <w:u w:val="single"/>
        </w:rPr>
        <w:t>Royd Nursery Infant School</w:t>
      </w:r>
      <w:r w:rsidR="00A95D54" w:rsidRPr="000B774C">
        <w:rPr>
          <w:color w:val="FFD006"/>
        </w:rPr>
        <w:t xml:space="preserve"> </w:t>
      </w:r>
      <w:r w:rsidR="00A95D54">
        <w:t xml:space="preserve">recognises that maths is both a key skill within school, and a life skill to be utilised through everyday experiences. A high-quality maths education provides a firm foundation for understanding how maths is used in everyday life and activities, developing pupils’ ability to reason mathematically. </w:t>
      </w:r>
    </w:p>
    <w:p w14:paraId="028BC787" w14:textId="77777777" w:rsidR="00A95D54" w:rsidRDefault="00A95D54" w:rsidP="00A95D54">
      <w:r>
        <w:t>Through the teaching of maths, we aim to develop:</w:t>
      </w:r>
    </w:p>
    <w:p w14:paraId="477242BC" w14:textId="77777777" w:rsidR="00A95D54" w:rsidRDefault="00A95D54" w:rsidP="00A95D54">
      <w:pPr>
        <w:pStyle w:val="PolicyBullets"/>
        <w:spacing w:before="0"/>
        <w:ind w:left="1134" w:hanging="425"/>
      </w:pPr>
      <w:r>
        <w:t xml:space="preserve">A positive attitude towards maths and an awareness of the relevance of maths in the real world. </w:t>
      </w:r>
    </w:p>
    <w:p w14:paraId="05770516" w14:textId="77777777" w:rsidR="00A95D54" w:rsidRDefault="00A95D54" w:rsidP="00A95D54">
      <w:pPr>
        <w:pStyle w:val="PolicyBullets"/>
        <w:spacing w:before="0"/>
        <w:ind w:left="1134" w:hanging="425"/>
      </w:pPr>
      <w:r>
        <w:t xml:space="preserve">A process of enquiry and experiment. </w:t>
      </w:r>
    </w:p>
    <w:p w14:paraId="420ADEDB" w14:textId="77777777" w:rsidR="00A95D54" w:rsidRDefault="00A95D54" w:rsidP="00A95D54">
      <w:pPr>
        <w:pStyle w:val="PolicyBullets"/>
        <w:spacing w:before="0"/>
        <w:ind w:left="1134" w:hanging="425"/>
      </w:pPr>
      <w:r>
        <w:t xml:space="preserve">An ability to solve problems and think logically in order to work systematically and accurately. </w:t>
      </w:r>
    </w:p>
    <w:p w14:paraId="36144470" w14:textId="77777777" w:rsidR="00A95D54" w:rsidRDefault="00A95D54" w:rsidP="00A95D54">
      <w:pPr>
        <w:pStyle w:val="PolicyBullets"/>
        <w:spacing w:before="0"/>
        <w:ind w:left="1134" w:hanging="425"/>
      </w:pPr>
      <w:r>
        <w:t xml:space="preserve">An ability to work both independently and in cooperation with others. </w:t>
      </w:r>
    </w:p>
    <w:p w14:paraId="42923E1A" w14:textId="77777777" w:rsidR="00A95D54" w:rsidRDefault="00A95D54" w:rsidP="00A95D54">
      <w:pPr>
        <w:pStyle w:val="PolicyBullets"/>
        <w:spacing w:before="0"/>
        <w:ind w:left="1134" w:hanging="425"/>
      </w:pPr>
      <w:r>
        <w:t xml:space="preserve">Competence and confidence in pupils’ maths knowledge, concepts and skills. </w:t>
      </w:r>
    </w:p>
    <w:p w14:paraId="7F6534DF" w14:textId="77777777" w:rsidR="00A95D54" w:rsidRDefault="00A95D54" w:rsidP="00A95D54">
      <w:pPr>
        <w:pStyle w:val="PolicyBullets"/>
        <w:spacing w:before="0"/>
        <w:ind w:left="1134" w:hanging="425"/>
      </w:pPr>
      <w:r>
        <w:t xml:space="preserve">An appreciation of the creative aspects of maths and an awareness of its aesthetic appeal. </w:t>
      </w:r>
    </w:p>
    <w:p w14:paraId="0F1C4E70" w14:textId="77777777" w:rsidR="00A23725" w:rsidRDefault="00A23725" w:rsidP="006C12C0"/>
    <w:p w14:paraId="4BF9CE7E" w14:textId="77777777" w:rsidR="00A23725" w:rsidRDefault="00A23725" w:rsidP="006C12C0">
      <w:pPr>
        <w:sectPr w:rsidR="00A23725" w:rsidSect="00EA743B">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5315381E" w14:textId="015603F0" w:rsidR="00A95D54" w:rsidRDefault="00A95D54" w:rsidP="00C652E7">
      <w:pPr>
        <w:pStyle w:val="Heading10"/>
      </w:pPr>
      <w:bookmarkStart w:id="6" w:name="_Legal_framework_1"/>
      <w:bookmarkEnd w:id="6"/>
      <w:r>
        <w:lastRenderedPageBreak/>
        <w:t>Legal framework</w:t>
      </w:r>
    </w:p>
    <w:p w14:paraId="679280D4" w14:textId="47F6C7A9"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This policy has due regard to statutory guidance including, but not limited to, the following:</w:t>
      </w:r>
    </w:p>
    <w:p w14:paraId="7A652CF0" w14:textId="345A5156"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xml:space="preserve"> DfE (2021) ‘National curriculum in England: Mathematics programmes of study’</w:t>
      </w:r>
    </w:p>
    <w:p w14:paraId="1679F0EC" w14:textId="4DFE6AF6"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xml:space="preserve"> DfE (2023) ‘Early years foundation stage statutory framework: For group and school-based providers’</w:t>
      </w:r>
    </w:p>
    <w:p w14:paraId="5F1C396A" w14:textId="07EF0E49"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xml:space="preserve"> DfE (2021) ‘Teaching mathematics in primary schools’</w:t>
      </w:r>
    </w:p>
    <w:p w14:paraId="58D393BD"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This policy operates in conjunction with the following school policies:</w:t>
      </w:r>
    </w:p>
    <w:p w14:paraId="47D799A5"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Primary Curriculum Policy</w:t>
      </w:r>
    </w:p>
    <w:p w14:paraId="352E1C91"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Equality Information and Objectives Policy</w:t>
      </w:r>
    </w:p>
    <w:p w14:paraId="450AC769"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Pupil Equality, Equity, Diversity and Inclusion Policy</w:t>
      </w:r>
    </w:p>
    <w:p w14:paraId="4990CDBA"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Staff Equality, Equity, Diversity and inclusion Policy</w:t>
      </w:r>
    </w:p>
    <w:p w14:paraId="53313674"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Primary Assessment Policy</w:t>
      </w:r>
    </w:p>
    <w:p w14:paraId="5BE1AE8E" w14:textId="77777777" w:rsidR="00584C3B" w:rsidRPr="00584C3B" w:rsidRDefault="00584C3B" w:rsidP="00584C3B"/>
    <w:p w14:paraId="557F5F70" w14:textId="77777777" w:rsidR="00A95D54" w:rsidRDefault="00A95D54" w:rsidP="00C652E7">
      <w:pPr>
        <w:pStyle w:val="Heading10"/>
      </w:pPr>
      <w:bookmarkStart w:id="7" w:name="_Roles_and_responsibilities_1"/>
      <w:bookmarkStart w:id="8" w:name="_Roles_and_responsibilities"/>
      <w:bookmarkEnd w:id="7"/>
      <w:bookmarkEnd w:id="8"/>
      <w:r>
        <w:t xml:space="preserve">Roles and responsibilities </w:t>
      </w:r>
    </w:p>
    <w:p w14:paraId="127D3736" w14:textId="77777777" w:rsidR="00A95D54" w:rsidRDefault="00A95D54" w:rsidP="00A95D54">
      <w:r>
        <w:t xml:space="preserve">The </w:t>
      </w:r>
      <w:r w:rsidRPr="00C652E7">
        <w:t>subject leader</w:t>
      </w:r>
      <w:r w:rsidRPr="00A03C0C">
        <w:rPr>
          <w:color w:val="FF6900"/>
        </w:rPr>
        <w:t xml:space="preserve"> </w:t>
      </w:r>
      <w:r>
        <w:t>is responsible for:</w:t>
      </w:r>
    </w:p>
    <w:p w14:paraId="68BBDF31" w14:textId="77777777" w:rsidR="00A95D54" w:rsidRDefault="00A95D54" w:rsidP="00A95D54">
      <w:pPr>
        <w:pStyle w:val="ListParagraph"/>
        <w:numPr>
          <w:ilvl w:val="0"/>
          <w:numId w:val="14"/>
        </w:numPr>
      </w:pPr>
      <w:r>
        <w:t xml:space="preserve">Preparing policy documents, curriculum plans and schemes of work for the subject. </w:t>
      </w:r>
    </w:p>
    <w:p w14:paraId="0A6E4D12" w14:textId="77777777" w:rsidR="00A95D54" w:rsidRDefault="00A95D54" w:rsidP="00A95D54">
      <w:pPr>
        <w:pStyle w:val="ListParagraph"/>
        <w:numPr>
          <w:ilvl w:val="0"/>
          <w:numId w:val="14"/>
        </w:numPr>
      </w:pPr>
      <w:r>
        <w:t xml:space="preserve">Reviewing changes to the national curriculum and advising on their implementation. </w:t>
      </w:r>
    </w:p>
    <w:p w14:paraId="448F5F17" w14:textId="77777777" w:rsidR="00A95D54" w:rsidRDefault="00A95D54" w:rsidP="00A95D54">
      <w:pPr>
        <w:pStyle w:val="ListParagraph"/>
        <w:numPr>
          <w:ilvl w:val="0"/>
          <w:numId w:val="14"/>
        </w:numPr>
      </w:pPr>
      <w:r>
        <w:t xml:space="preserve">Monitoring the learning and teaching of maths, providing support for staff where necessary. </w:t>
      </w:r>
    </w:p>
    <w:p w14:paraId="4B3FCDFF" w14:textId="77777777" w:rsidR="00A95D54" w:rsidRDefault="00A95D54" w:rsidP="00A95D54">
      <w:pPr>
        <w:pStyle w:val="ListParagraph"/>
        <w:numPr>
          <w:ilvl w:val="0"/>
          <w:numId w:val="14"/>
        </w:numPr>
      </w:pPr>
      <w:r>
        <w:t xml:space="preserve">Ensuring the continuity and progression from year group to year group. </w:t>
      </w:r>
    </w:p>
    <w:p w14:paraId="69CE84E7" w14:textId="77777777" w:rsidR="00A95D54" w:rsidRDefault="00A95D54" w:rsidP="00A95D54">
      <w:pPr>
        <w:pStyle w:val="ListParagraph"/>
        <w:numPr>
          <w:ilvl w:val="0"/>
          <w:numId w:val="14"/>
        </w:numPr>
      </w:pPr>
      <w:r>
        <w:t>Encouraging staff to provide effective learning opportunities for pupils.</w:t>
      </w:r>
    </w:p>
    <w:p w14:paraId="32CD86E2" w14:textId="77777777" w:rsidR="00A95D54" w:rsidRDefault="00A95D54" w:rsidP="00A95D54">
      <w:pPr>
        <w:pStyle w:val="ListParagraph"/>
        <w:numPr>
          <w:ilvl w:val="0"/>
          <w:numId w:val="14"/>
        </w:numPr>
      </w:pPr>
      <w:r>
        <w:t xml:space="preserve">Helping to develop colleagues’ expertise in the subject. </w:t>
      </w:r>
    </w:p>
    <w:p w14:paraId="11BC5456" w14:textId="77777777" w:rsidR="00A95D54" w:rsidRDefault="00A95D54" w:rsidP="00A95D54">
      <w:pPr>
        <w:pStyle w:val="ListParagraph"/>
        <w:numPr>
          <w:ilvl w:val="0"/>
          <w:numId w:val="14"/>
        </w:numPr>
      </w:pPr>
      <w:r>
        <w:t xml:space="preserve">Organising the deployment of resources and carrying out an </w:t>
      </w:r>
      <w:r w:rsidRPr="007B6111">
        <w:rPr>
          <w:b/>
          <w:color w:val="FF6900"/>
          <w:u w:val="single"/>
        </w:rPr>
        <w:t>annual</w:t>
      </w:r>
      <w:r>
        <w:t xml:space="preserve"> audit of all maths-related resources. </w:t>
      </w:r>
    </w:p>
    <w:p w14:paraId="00FC1E9E" w14:textId="77777777" w:rsidR="00A95D54" w:rsidRDefault="00A95D54" w:rsidP="00A95D54">
      <w:pPr>
        <w:pStyle w:val="ListParagraph"/>
        <w:numPr>
          <w:ilvl w:val="0"/>
          <w:numId w:val="14"/>
        </w:numPr>
      </w:pPr>
      <w:r>
        <w:t xml:space="preserve">Liaising with teachers across all phases. </w:t>
      </w:r>
    </w:p>
    <w:p w14:paraId="632F4FCA" w14:textId="77777777" w:rsidR="00A95D54" w:rsidRDefault="00A95D54" w:rsidP="00A95D54">
      <w:pPr>
        <w:pStyle w:val="ListParagraph"/>
        <w:numPr>
          <w:ilvl w:val="0"/>
          <w:numId w:val="14"/>
        </w:numPr>
      </w:pPr>
      <w:r>
        <w:t xml:space="preserve">Communicating developments in the subject to all teaching staff. </w:t>
      </w:r>
    </w:p>
    <w:p w14:paraId="2914E1A9" w14:textId="77777777" w:rsidR="00A95D54" w:rsidRDefault="00A95D54" w:rsidP="00A95D54">
      <w:pPr>
        <w:pStyle w:val="ListParagraph"/>
        <w:numPr>
          <w:ilvl w:val="0"/>
          <w:numId w:val="14"/>
        </w:numPr>
      </w:pPr>
      <w:r>
        <w:t xml:space="preserve">Leading staff meetings and providing staff members with the appropriate training. </w:t>
      </w:r>
    </w:p>
    <w:p w14:paraId="2121D734" w14:textId="77777777" w:rsidR="00A95D54" w:rsidRDefault="00A95D54" w:rsidP="00A95D54">
      <w:pPr>
        <w:pStyle w:val="ListParagraph"/>
        <w:numPr>
          <w:ilvl w:val="0"/>
          <w:numId w:val="14"/>
        </w:numPr>
      </w:pPr>
      <w:r>
        <w:t xml:space="preserve">Organising, providing and monitoring CPD opportunities in the subject. </w:t>
      </w:r>
    </w:p>
    <w:p w14:paraId="2A49B252" w14:textId="77777777" w:rsidR="00A95D54" w:rsidRDefault="00A95D54" w:rsidP="00A95D54">
      <w:pPr>
        <w:pStyle w:val="ListParagraph"/>
        <w:numPr>
          <w:ilvl w:val="0"/>
          <w:numId w:val="14"/>
        </w:numPr>
      </w:pPr>
      <w:r>
        <w:t xml:space="preserve">Ensuring common standards are met for recording and assessing pupil performance. </w:t>
      </w:r>
    </w:p>
    <w:p w14:paraId="684AB1C1" w14:textId="77777777" w:rsidR="00A95D54" w:rsidRDefault="00A95D54" w:rsidP="00A95D54">
      <w:pPr>
        <w:pStyle w:val="ListParagraph"/>
        <w:numPr>
          <w:ilvl w:val="0"/>
          <w:numId w:val="14"/>
        </w:numPr>
      </w:pPr>
      <w:r>
        <w:t xml:space="preserve">Advising on the contribution of maths to other curriculum areas, including cross-curricular and extra-curricular activities. </w:t>
      </w:r>
    </w:p>
    <w:p w14:paraId="14921B46" w14:textId="77777777" w:rsidR="00A95D54" w:rsidRDefault="00A95D54" w:rsidP="00A95D54">
      <w:pPr>
        <w:pStyle w:val="ListParagraph"/>
        <w:numPr>
          <w:ilvl w:val="0"/>
          <w:numId w:val="14"/>
        </w:numPr>
      </w:pPr>
      <w:r>
        <w:t xml:space="preserve">Collating assessment data and setting new priorities for the development of maths in subsequent years. </w:t>
      </w:r>
    </w:p>
    <w:p w14:paraId="442CFDF5" w14:textId="77777777" w:rsidR="00A95D54" w:rsidRPr="00A03C0C" w:rsidRDefault="00A95D54" w:rsidP="00A95D54">
      <w:r w:rsidRPr="00A03C0C">
        <w:t>The classroom teacher is responsible for:</w:t>
      </w:r>
    </w:p>
    <w:p w14:paraId="0D177C52" w14:textId="77777777" w:rsidR="00A95D54" w:rsidRPr="00A03C0C" w:rsidRDefault="00A95D54" w:rsidP="00A95D54">
      <w:pPr>
        <w:pStyle w:val="ListParagraph"/>
        <w:numPr>
          <w:ilvl w:val="0"/>
          <w:numId w:val="15"/>
        </w:numPr>
      </w:pPr>
      <w:r w:rsidRPr="00A03C0C">
        <w:lastRenderedPageBreak/>
        <w:t xml:space="preserve">Acting in accordance with this policy. </w:t>
      </w:r>
    </w:p>
    <w:p w14:paraId="590900DF" w14:textId="77777777" w:rsidR="00A95D54" w:rsidRPr="00A03C0C" w:rsidRDefault="00A95D54" w:rsidP="00A95D54">
      <w:pPr>
        <w:pStyle w:val="ListParagraph"/>
        <w:numPr>
          <w:ilvl w:val="0"/>
          <w:numId w:val="15"/>
        </w:numPr>
      </w:pPr>
      <w:r w:rsidRPr="00A03C0C">
        <w:t xml:space="preserve">Ensuring progression of pupils’ mathematical skills, with due regard to the national curriculum. </w:t>
      </w:r>
    </w:p>
    <w:p w14:paraId="497355DC" w14:textId="77777777" w:rsidR="00A95D54" w:rsidRPr="00A03C0C" w:rsidRDefault="00A95D54" w:rsidP="00A95D54">
      <w:pPr>
        <w:pStyle w:val="ListParagraph"/>
        <w:numPr>
          <w:ilvl w:val="0"/>
          <w:numId w:val="15"/>
        </w:numPr>
      </w:pPr>
      <w:r w:rsidRPr="00A03C0C">
        <w:t xml:space="preserve">Planning lessons effectively, ensuring a range of teaching methods are used to cover the content of the national curriculum. </w:t>
      </w:r>
    </w:p>
    <w:p w14:paraId="68B1B382" w14:textId="77777777" w:rsidR="00A95D54" w:rsidRPr="00A03C0C" w:rsidRDefault="00A95D54" w:rsidP="00A95D54">
      <w:pPr>
        <w:pStyle w:val="ListParagraph"/>
        <w:numPr>
          <w:ilvl w:val="0"/>
          <w:numId w:val="15"/>
        </w:numPr>
      </w:pPr>
      <w:r w:rsidRPr="00A03C0C">
        <w:t xml:space="preserve">Liaising with the subject leader about key topics, resources and support for individual pupils. </w:t>
      </w:r>
    </w:p>
    <w:p w14:paraId="04407339" w14:textId="77777777" w:rsidR="00A95D54" w:rsidRPr="00A03C0C" w:rsidRDefault="00A95D54" w:rsidP="00A95D54">
      <w:pPr>
        <w:pStyle w:val="ListParagraph"/>
        <w:numPr>
          <w:ilvl w:val="0"/>
          <w:numId w:val="15"/>
        </w:numPr>
      </w:pPr>
      <w:r w:rsidRPr="00A03C0C">
        <w:t xml:space="preserve">Monitoring the progress of pupils in their class and reporting this on an annual basis to parents. </w:t>
      </w:r>
    </w:p>
    <w:p w14:paraId="379101E3" w14:textId="08A9F223" w:rsidR="00A95D54" w:rsidRPr="00A03C0C" w:rsidRDefault="00A95D54" w:rsidP="00A95D54">
      <w:pPr>
        <w:pStyle w:val="ListParagraph"/>
        <w:numPr>
          <w:ilvl w:val="0"/>
          <w:numId w:val="15"/>
        </w:numPr>
      </w:pPr>
      <w:r w:rsidRPr="00A03C0C">
        <w:t xml:space="preserve">Reporting any concerns regarding the teaching of the subject to the subject leader or a member of the </w:t>
      </w:r>
      <w:r w:rsidR="00866B3B">
        <w:t>SLT</w:t>
      </w:r>
      <w:r w:rsidRPr="00A03C0C">
        <w:t xml:space="preserve">. </w:t>
      </w:r>
    </w:p>
    <w:p w14:paraId="51023370" w14:textId="77777777" w:rsidR="00A95D54" w:rsidRPr="00A03C0C" w:rsidRDefault="00A95D54" w:rsidP="00A95D54">
      <w:pPr>
        <w:pStyle w:val="ListParagraph"/>
        <w:numPr>
          <w:ilvl w:val="0"/>
          <w:numId w:val="15"/>
        </w:numPr>
      </w:pPr>
      <w:r w:rsidRPr="00A03C0C">
        <w:t xml:space="preserve">Undertaking any training that is necessary in order to effectively teach the subject. </w:t>
      </w:r>
    </w:p>
    <w:p w14:paraId="5C7C1E96" w14:textId="4AAA5601" w:rsidR="00A95D54" w:rsidRDefault="00A95D54" w:rsidP="00A95D54">
      <w:r>
        <w:t xml:space="preserve">The </w:t>
      </w:r>
      <w:r w:rsidRPr="00BB07AB">
        <w:t>SENCO</w:t>
      </w:r>
      <w:r>
        <w:t xml:space="preserve"> is responsible for:</w:t>
      </w:r>
    </w:p>
    <w:p w14:paraId="20AE4499" w14:textId="77777777" w:rsidR="00A95D54" w:rsidRDefault="00A95D54" w:rsidP="00A95D54">
      <w:pPr>
        <w:pStyle w:val="ListParagraph"/>
        <w:numPr>
          <w:ilvl w:val="0"/>
          <w:numId w:val="16"/>
        </w:numPr>
      </w:pPr>
      <w:r>
        <w:t>Liaising with the subject leader in order to implement and develop maths throughout the school.</w:t>
      </w:r>
    </w:p>
    <w:p w14:paraId="588A6ED5" w14:textId="6B4ABD0E" w:rsidR="00A95D54" w:rsidRDefault="00A95D54" w:rsidP="00A95D54">
      <w:pPr>
        <w:pStyle w:val="ListParagraph"/>
        <w:numPr>
          <w:ilvl w:val="0"/>
          <w:numId w:val="16"/>
        </w:numPr>
      </w:pPr>
      <w:r>
        <w:t xml:space="preserve">Organising and providing training for staff regarding the maths curriculum for pupils with </w:t>
      </w:r>
      <w:r w:rsidR="00866B3B">
        <w:t>SEND.</w:t>
      </w:r>
      <w:r>
        <w:t xml:space="preserve"> </w:t>
      </w:r>
    </w:p>
    <w:p w14:paraId="51CAC5A2" w14:textId="77777777" w:rsidR="00A95D54" w:rsidRDefault="00A95D54" w:rsidP="00A95D54">
      <w:pPr>
        <w:pStyle w:val="ListParagraph"/>
        <w:numPr>
          <w:ilvl w:val="0"/>
          <w:numId w:val="16"/>
        </w:numPr>
      </w:pPr>
      <w:r>
        <w:t xml:space="preserve">Advising staff how best to support pupils’ needs. </w:t>
      </w:r>
    </w:p>
    <w:p w14:paraId="6B0CB309" w14:textId="77777777" w:rsidR="00A95D54" w:rsidRDefault="00A95D54" w:rsidP="00A95D54">
      <w:pPr>
        <w:pStyle w:val="ListParagraph"/>
        <w:numPr>
          <w:ilvl w:val="0"/>
          <w:numId w:val="16"/>
        </w:numPr>
      </w:pPr>
      <w:r>
        <w:t xml:space="preserve">Advising staff on the inclusion of mathematical objectives in pupils’ individual education plans. </w:t>
      </w:r>
    </w:p>
    <w:p w14:paraId="613D62A5" w14:textId="77777777" w:rsidR="00A95D54" w:rsidRDefault="00A95D54" w:rsidP="00A95D54">
      <w:pPr>
        <w:pStyle w:val="ListParagraph"/>
        <w:numPr>
          <w:ilvl w:val="0"/>
          <w:numId w:val="16"/>
        </w:numPr>
      </w:pPr>
      <w:r>
        <w:t xml:space="preserve">Advising staff on the use of teaching assistants in order to meet pupils’ needs. </w:t>
      </w:r>
    </w:p>
    <w:p w14:paraId="0AFE2FE2" w14:textId="65DDFC69" w:rsidR="00A95D54" w:rsidRDefault="00A95D54" w:rsidP="00AE6D6E">
      <w:pPr>
        <w:pStyle w:val="Heading10"/>
      </w:pPr>
      <w:bookmarkStart w:id="9" w:name="_The_national_curriculum"/>
      <w:bookmarkStart w:id="10" w:name="_Early_years_provision"/>
      <w:bookmarkEnd w:id="9"/>
      <w:bookmarkEnd w:id="10"/>
      <w:r>
        <w:t>Early years provision</w:t>
      </w:r>
    </w:p>
    <w:p w14:paraId="533701B6"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xml:space="preserve">Activities and experiences for pupils will be based on the seven areas of learning and development, as outlined in the DfE’s ‘Early years foundation stage statutory framework: For group and school-based </w:t>
      </w:r>
      <w:proofErr w:type="gramStart"/>
      <w:r w:rsidRPr="00584C3B">
        <w:rPr>
          <w:rFonts w:asciiTheme="minorHAnsi" w:eastAsia="Times New Roman" w:hAnsiTheme="minorHAnsi" w:cstheme="minorHAnsi"/>
          <w:color w:val="000000"/>
          <w:lang w:eastAsia="en-GB"/>
        </w:rPr>
        <w:t>providers’</w:t>
      </w:r>
      <w:proofErr w:type="gramEnd"/>
      <w:r w:rsidRPr="00584C3B">
        <w:rPr>
          <w:rFonts w:asciiTheme="minorHAnsi" w:eastAsia="Times New Roman" w:hAnsiTheme="minorHAnsi" w:cstheme="minorHAnsi"/>
          <w:color w:val="000000"/>
          <w:lang w:eastAsia="en-GB"/>
        </w:rPr>
        <w:t>.</w:t>
      </w:r>
    </w:p>
    <w:p w14:paraId="0049764B"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Activities will provide pupils with the opportunity to develop and improve their skills in counting, understanding and using numbers, calculating simple addition and subtraction problems, and describing shapes, spaces and measurements.</w:t>
      </w:r>
    </w:p>
    <w:p w14:paraId="1D4BC030"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All activities will adhere to the objectives set out in the framework.</w:t>
      </w:r>
    </w:p>
    <w:p w14:paraId="7E18B9F7"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Children will be taught how to:</w:t>
      </w:r>
    </w:p>
    <w:p w14:paraId="15A340BA"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Count confidently.</w:t>
      </w:r>
    </w:p>
    <w:p w14:paraId="32F6ED1F"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Develop a deep understanding of the numbers to 10.</w:t>
      </w:r>
    </w:p>
    <w:p w14:paraId="45F39807"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Understand the relationship between the numbers to 10 and the patterns within those numbers.</w:t>
      </w:r>
    </w:p>
    <w:p w14:paraId="2D1C0F3F"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Develop a secure base knowledge and vocabulary from which mastery of mathematics is built.</w:t>
      </w:r>
    </w:p>
    <w:p w14:paraId="2881C166"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Develop their spatial reasoning skills across all areas of mathematics including shape, space and measures.</w:t>
      </w:r>
    </w:p>
    <w:p w14:paraId="14E533E8"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lastRenderedPageBreak/>
        <w:t>· Develop positive attitudes and interests in mathematics.</w:t>
      </w:r>
    </w:p>
    <w:p w14:paraId="38051A8E"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Look for patterns and relationships.</w:t>
      </w:r>
    </w:p>
    <w:p w14:paraId="36D89A2B"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Spot connections.</w:t>
      </w:r>
    </w:p>
    <w:p w14:paraId="3C292850" w14:textId="77777777" w:rsid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Talk to adults and peers about what they notice and not be afraid to make mistakes.</w:t>
      </w:r>
    </w:p>
    <w:p w14:paraId="2ECC009E" w14:textId="11FC58B0"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Teaching staff will utilise the early learning goals (ELGs), which summarise the knowledge, skills and understanding that all children should have gained by the end of the EYFS. For the ELG for numbers, children at the expected level of development will:</w:t>
      </w:r>
    </w:p>
    <w:p w14:paraId="634076FA"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Have a deep understanding of numbers to 10, including the composition of each number.</w:t>
      </w:r>
    </w:p>
    <w:p w14:paraId="3B213CE5"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Subitise (recognise quantities without counting) up to 5.</w:t>
      </w:r>
    </w:p>
    <w:p w14:paraId="052A0280"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Automatically recall (without reference to rhymes, counting or other aids) number bonds up to 5 (including subtraction facts) and some number bonds to 10, including double facts.</w:t>
      </w:r>
    </w:p>
    <w:p w14:paraId="37AE8BCB" w14:textId="3F05DA8F" w:rsidR="00584C3B" w:rsidRPr="00584C3B" w:rsidRDefault="00584C3B" w:rsidP="00584C3B">
      <w:pPr>
        <w:spacing w:before="100" w:beforeAutospacing="1" w:after="100" w:afterAutospacing="1" w:line="240" w:lineRule="auto"/>
        <w:jc w:val="left"/>
        <w:rPr>
          <w:rFonts w:eastAsia="Times New Roman" w:cstheme="minorHAnsi"/>
          <w:color w:val="000000"/>
          <w:lang w:eastAsia="en-GB"/>
        </w:rPr>
      </w:pPr>
      <w:r w:rsidRPr="00584C3B">
        <w:rPr>
          <w:rFonts w:eastAsia="Times New Roman" w:cstheme="minorHAnsi"/>
          <w:color w:val="000000"/>
          <w:lang w:eastAsia="en-GB"/>
        </w:rPr>
        <w:t xml:space="preserve"> For the ELG for numerical patterns, children at the expected level of development will:</w:t>
      </w:r>
    </w:p>
    <w:p w14:paraId="3E35B36D"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Verbally count beyond 20, recognising the pattern of the counting system.</w:t>
      </w:r>
    </w:p>
    <w:p w14:paraId="2D313DC8" w14:textId="77777777"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Compare quantities up to 10 in different contexts, recognising when one quantity is greater than, less than or the same as the other quantity.</w:t>
      </w:r>
    </w:p>
    <w:p w14:paraId="551BEBAF" w14:textId="7B598E9D" w:rsidR="00584C3B" w:rsidRPr="00584C3B" w:rsidRDefault="00584C3B" w:rsidP="00584C3B">
      <w:pPr>
        <w:spacing w:before="100" w:beforeAutospacing="1" w:after="100" w:afterAutospacing="1" w:line="240" w:lineRule="auto"/>
        <w:jc w:val="left"/>
        <w:rPr>
          <w:rFonts w:asciiTheme="minorHAnsi" w:eastAsia="Times New Roman" w:hAnsiTheme="minorHAnsi" w:cstheme="minorHAnsi"/>
          <w:color w:val="000000"/>
          <w:lang w:eastAsia="en-GB"/>
        </w:rPr>
      </w:pPr>
      <w:r w:rsidRPr="00584C3B">
        <w:rPr>
          <w:rFonts w:asciiTheme="minorHAnsi" w:eastAsia="Times New Roman" w:hAnsiTheme="minorHAnsi" w:cstheme="minorHAnsi"/>
          <w:color w:val="000000"/>
          <w:lang w:eastAsia="en-GB"/>
        </w:rPr>
        <w:t>· Explore and represent patterns within numbers up to 10, including evens and od</w:t>
      </w:r>
      <w:r w:rsidRPr="00584C3B">
        <w:rPr>
          <w:color w:val="000000"/>
        </w:rPr>
        <w:t>ds, double facts and how quantities can be distributed equally.</w:t>
      </w:r>
    </w:p>
    <w:p w14:paraId="10292A9B" w14:textId="12ECFEBD" w:rsidR="00584C3B" w:rsidRPr="00584C3B" w:rsidRDefault="00584C3B" w:rsidP="00584C3B"/>
    <w:p w14:paraId="2141D0DD" w14:textId="2202F0D6" w:rsidR="00A95D54" w:rsidRDefault="00A95D54" w:rsidP="00AE6D6E">
      <w:pPr>
        <w:pStyle w:val="Heading10"/>
      </w:pPr>
      <w:bookmarkStart w:id="11" w:name="_The_national_curriculum_1"/>
      <w:bookmarkEnd w:id="11"/>
      <w:r>
        <w:t xml:space="preserve">The national curriculum </w:t>
      </w:r>
    </w:p>
    <w:p w14:paraId="74F66342" w14:textId="3071E329" w:rsidR="00A95D54" w:rsidRDefault="004E4BC8" w:rsidP="00A95D54">
      <w:r>
        <w:t>The below demonstrates the ‘ready-to-progress’ criteria across all year groups and is not exhaustive of everything children will learn through the curriculum.</w:t>
      </w:r>
    </w:p>
    <w:p w14:paraId="2B4AC4ED" w14:textId="03FFC78C" w:rsidR="00A95D54" w:rsidRPr="00EA544E" w:rsidRDefault="00521BFC" w:rsidP="00A95D54">
      <w:r>
        <w:rPr>
          <w:b/>
        </w:rPr>
        <w:t xml:space="preserve"> </w:t>
      </w:r>
      <w:r w:rsidR="00A95D54">
        <w:rPr>
          <w:b/>
        </w:rPr>
        <w:t>In Year 1, pupils will be taught to:</w:t>
      </w:r>
    </w:p>
    <w:p w14:paraId="6E718BF1" w14:textId="4CFEAD44" w:rsidR="00A95D54" w:rsidRPr="00C652E7" w:rsidRDefault="00521BFC" w:rsidP="00C652E7">
      <w:pPr>
        <w:rPr>
          <w:b/>
          <w:bCs/>
        </w:rPr>
      </w:pPr>
      <w:r w:rsidRPr="00C652E7">
        <w:t xml:space="preserve"> </w:t>
      </w:r>
      <w:r w:rsidR="00A95D54" w:rsidRPr="00C652E7">
        <w:rPr>
          <w:b/>
          <w:bCs/>
        </w:rPr>
        <w:t>Number and place value</w:t>
      </w:r>
    </w:p>
    <w:p w14:paraId="15128035" w14:textId="48B17D65" w:rsidR="00A95D54" w:rsidRPr="002C03B8" w:rsidRDefault="00A95D54" w:rsidP="00C652E7">
      <w:pPr>
        <w:pStyle w:val="PolicyBullets"/>
      </w:pPr>
      <w:r w:rsidRPr="002C03B8">
        <w:t xml:space="preserve">Count </w:t>
      </w:r>
      <w:r w:rsidR="00FE119C">
        <w:t>within</w:t>
      </w:r>
      <w:r w:rsidRPr="002C03B8">
        <w:t xml:space="preserve"> 100, forwards and backwards, beginning</w:t>
      </w:r>
      <w:r>
        <w:t xml:space="preserve"> with </w:t>
      </w:r>
      <w:r w:rsidRPr="002C03B8">
        <w:t>any number.</w:t>
      </w:r>
    </w:p>
    <w:p w14:paraId="2BDE1836" w14:textId="4D58F652" w:rsidR="00B56890" w:rsidRDefault="000D4717" w:rsidP="00C652E7">
      <w:pPr>
        <w:pStyle w:val="PolicyBullets"/>
      </w:pPr>
      <w:r>
        <w:t>Reason about the location of numbers to 20 within the linear number system, including comparing using &lt; &gt; and =.</w:t>
      </w:r>
    </w:p>
    <w:p w14:paraId="6061B3E9" w14:textId="46CA2CEA" w:rsidR="00B56890" w:rsidRPr="00C652E7" w:rsidRDefault="00521BFC" w:rsidP="00686EB5">
      <w:pPr>
        <w:rPr>
          <w:b/>
          <w:bCs/>
        </w:rPr>
      </w:pPr>
      <w:r w:rsidRPr="005434D9">
        <w:t xml:space="preserve"> </w:t>
      </w:r>
      <w:r w:rsidR="00B56890" w:rsidRPr="00C652E7">
        <w:rPr>
          <w:b/>
          <w:bCs/>
        </w:rPr>
        <w:t>Number facts</w:t>
      </w:r>
    </w:p>
    <w:p w14:paraId="691F4E0B" w14:textId="4480B751" w:rsidR="00B56890" w:rsidRPr="00B56890" w:rsidRDefault="00B56890" w:rsidP="00C652E7">
      <w:pPr>
        <w:pStyle w:val="ListParagraph"/>
        <w:numPr>
          <w:ilvl w:val="0"/>
          <w:numId w:val="40"/>
        </w:numPr>
      </w:pPr>
      <w:r w:rsidRPr="00B56890">
        <w:t>Develop fluency in addition and subtraction facts within 10.</w:t>
      </w:r>
    </w:p>
    <w:p w14:paraId="19057B44" w14:textId="49838E30" w:rsidR="00B56890" w:rsidRPr="00B56890" w:rsidRDefault="00B56890" w:rsidP="00C652E7">
      <w:pPr>
        <w:pStyle w:val="ListParagraph"/>
        <w:numPr>
          <w:ilvl w:val="0"/>
          <w:numId w:val="40"/>
        </w:numPr>
      </w:pPr>
      <w:r w:rsidRPr="00B56890">
        <w:t>Count forwards and backwards in multiples of 2, 5 and 10, up to 10 multiples, beginning with any multiple and count forwards and backwards through the odd numbers.</w:t>
      </w:r>
    </w:p>
    <w:p w14:paraId="37A48E5D" w14:textId="76249245" w:rsidR="00A95D54" w:rsidRPr="00C652E7" w:rsidRDefault="00A95D54" w:rsidP="00C652E7">
      <w:pPr>
        <w:rPr>
          <w:b/>
          <w:bCs/>
        </w:rPr>
      </w:pPr>
      <w:r w:rsidRPr="00C652E7">
        <w:rPr>
          <w:b/>
          <w:bCs/>
        </w:rPr>
        <w:t>Addition and subtraction</w:t>
      </w:r>
    </w:p>
    <w:p w14:paraId="2B34BB10" w14:textId="44A2EEDE" w:rsidR="000D4717" w:rsidRDefault="000D4717" w:rsidP="00686EB5">
      <w:pPr>
        <w:pStyle w:val="ListParagraph"/>
        <w:numPr>
          <w:ilvl w:val="0"/>
          <w:numId w:val="39"/>
        </w:numPr>
      </w:pPr>
      <w:r w:rsidRPr="00686EB5">
        <w:lastRenderedPageBreak/>
        <w:t>Read, write and interpret equations containing addition, subtraction and equals symbols, and relate additive expressions and equations to real-life contexts.</w:t>
      </w:r>
    </w:p>
    <w:p w14:paraId="43756976" w14:textId="34226021" w:rsidR="00686EB5" w:rsidRPr="00686EB5" w:rsidRDefault="00686EB5" w:rsidP="00C652E7">
      <w:pPr>
        <w:pStyle w:val="ListParagraph"/>
        <w:numPr>
          <w:ilvl w:val="0"/>
          <w:numId w:val="39"/>
        </w:numPr>
      </w:pPr>
      <w:r>
        <w:t>Compose numbers to 10 from two parts and partition numbers to 10 into parts, including recognising odd and even numbers.</w:t>
      </w:r>
    </w:p>
    <w:p w14:paraId="675353C8" w14:textId="770048D2" w:rsidR="00A95D54" w:rsidRPr="00C652E7" w:rsidRDefault="00521BFC" w:rsidP="00C652E7">
      <w:pPr>
        <w:rPr>
          <w:b/>
          <w:bCs/>
        </w:rPr>
      </w:pPr>
      <w:r w:rsidRPr="005434D9">
        <w:t xml:space="preserve"> </w:t>
      </w:r>
      <w:r w:rsidR="00DC784C" w:rsidRPr="00C652E7">
        <w:rPr>
          <w:b/>
          <w:bCs/>
        </w:rPr>
        <w:t xml:space="preserve">Geometry </w:t>
      </w:r>
    </w:p>
    <w:p w14:paraId="3A55B0F0" w14:textId="77777777" w:rsidR="00DC784C" w:rsidRDefault="00A95D54" w:rsidP="00C652E7">
      <w:pPr>
        <w:pStyle w:val="ListParagraph"/>
        <w:numPr>
          <w:ilvl w:val="0"/>
          <w:numId w:val="26"/>
        </w:numPr>
      </w:pPr>
      <w:r w:rsidRPr="00DC784C">
        <w:t>Recognise and name common 2D and 3D shapes</w:t>
      </w:r>
      <w:r w:rsidR="00DC784C" w:rsidRPr="00DC784C">
        <w:t xml:space="preserve"> presented in different orientations and know that rectangles, triangles, cuboids and pyramids are not always similar to one another</w:t>
      </w:r>
    </w:p>
    <w:p w14:paraId="02C206B0" w14:textId="1EB5AA5F" w:rsidR="00A95D54" w:rsidRPr="00DC784C" w:rsidRDefault="00DC784C" w:rsidP="00140363">
      <w:pPr>
        <w:pStyle w:val="ListParagraph"/>
        <w:numPr>
          <w:ilvl w:val="0"/>
          <w:numId w:val="26"/>
        </w:numPr>
      </w:pPr>
      <w:r w:rsidRPr="00DC784C">
        <w:t>Compose 2D and 3D shapes from smaller shapes to match an example, including manipulating shapes to place them in particular orientations</w:t>
      </w:r>
      <w:r w:rsidR="00A95D54" w:rsidRPr="00DC784C">
        <w:t>.</w:t>
      </w:r>
    </w:p>
    <w:p w14:paraId="4B068DC5" w14:textId="57EEE51C" w:rsidR="00A95D54" w:rsidRPr="00C652E7" w:rsidRDefault="00A95D54" w:rsidP="00A95D54">
      <w:pPr>
        <w:rPr>
          <w:b/>
          <w:bCs/>
        </w:rPr>
      </w:pPr>
      <w:r w:rsidRPr="00C652E7">
        <w:rPr>
          <w:b/>
          <w:bCs/>
        </w:rPr>
        <w:t>In Year 2, pupils will be taught to:</w:t>
      </w:r>
    </w:p>
    <w:p w14:paraId="28150522" w14:textId="6ED4907E" w:rsidR="00DC784C" w:rsidRPr="00C652E7" w:rsidRDefault="00A95D54" w:rsidP="00DC784C">
      <w:pPr>
        <w:rPr>
          <w:b/>
          <w:bCs/>
        </w:rPr>
      </w:pPr>
      <w:r w:rsidRPr="00C652E7">
        <w:rPr>
          <w:b/>
          <w:bCs/>
        </w:rPr>
        <w:t>Number and place value</w:t>
      </w:r>
    </w:p>
    <w:p w14:paraId="6FCE274A" w14:textId="183CB755" w:rsidR="00A95D54" w:rsidRDefault="00686EB5" w:rsidP="00DC784C">
      <w:pPr>
        <w:pStyle w:val="PolicyBullets"/>
        <w:numPr>
          <w:ilvl w:val="0"/>
          <w:numId w:val="33"/>
        </w:numPr>
      </w:pPr>
      <w:r>
        <w:t>Recognise the place value of each digit in two-digit numbers, and compose and decompose two-digit numbers using standard and non-standard partitioning.</w:t>
      </w:r>
    </w:p>
    <w:p w14:paraId="322FDF3D" w14:textId="60005944" w:rsidR="00527497" w:rsidRDefault="00527497" w:rsidP="00C652E7">
      <w:pPr>
        <w:pStyle w:val="PolicyBullets"/>
        <w:numPr>
          <w:ilvl w:val="0"/>
          <w:numId w:val="33"/>
        </w:numPr>
      </w:pPr>
      <w:r>
        <w:t>Reason about the location of any two-digit number in the linear number system, including identifying the previous and next multiple of 10.</w:t>
      </w:r>
    </w:p>
    <w:p w14:paraId="02826EF9" w14:textId="65453290" w:rsidR="00527497" w:rsidRDefault="00521BFC" w:rsidP="00A95D54">
      <w:pPr>
        <w:rPr>
          <w:b/>
          <w:bCs/>
        </w:rPr>
      </w:pPr>
      <w:r w:rsidRPr="005434D9">
        <w:t xml:space="preserve"> </w:t>
      </w:r>
      <w:r w:rsidR="00527497">
        <w:rPr>
          <w:b/>
          <w:bCs/>
        </w:rPr>
        <w:t>Number facts</w:t>
      </w:r>
    </w:p>
    <w:p w14:paraId="123908B6" w14:textId="6FAE53A4" w:rsidR="00527497" w:rsidRPr="00C652E7" w:rsidRDefault="00527497" w:rsidP="00C652E7">
      <w:pPr>
        <w:pStyle w:val="PolicyBullets"/>
      </w:pPr>
      <w:r>
        <w:t>Secure fluency in addition and subtraction facts within 10 through continued practice.</w:t>
      </w:r>
    </w:p>
    <w:p w14:paraId="52C62BAE" w14:textId="6466E89B" w:rsidR="00A95D54" w:rsidRPr="003153A8" w:rsidRDefault="00521BFC" w:rsidP="00A95D54">
      <w:pPr>
        <w:rPr>
          <w:b/>
          <w:bCs/>
        </w:rPr>
      </w:pPr>
      <w:r w:rsidRPr="005434D9">
        <w:t xml:space="preserve"> </w:t>
      </w:r>
      <w:r w:rsidR="00A95D54" w:rsidRPr="003153A8">
        <w:rPr>
          <w:b/>
          <w:bCs/>
        </w:rPr>
        <w:t>Addition and subtraction</w:t>
      </w:r>
    </w:p>
    <w:p w14:paraId="7312EE35" w14:textId="77727AE9" w:rsidR="00A95D54" w:rsidRDefault="00527497" w:rsidP="00A95D54">
      <w:pPr>
        <w:pStyle w:val="PolicyBullets"/>
        <w:rPr>
          <w:lang w:eastAsia="en-GB"/>
        </w:rPr>
      </w:pPr>
      <w:r>
        <w:rPr>
          <w:lang w:eastAsia="en-GB"/>
        </w:rPr>
        <w:t>Add and subtract across 10.</w:t>
      </w:r>
    </w:p>
    <w:p w14:paraId="22A6FBD0" w14:textId="7FFFD313" w:rsidR="00527497" w:rsidRDefault="00527497" w:rsidP="00A95D54">
      <w:pPr>
        <w:pStyle w:val="PolicyBullets"/>
        <w:rPr>
          <w:lang w:eastAsia="en-GB"/>
        </w:rPr>
      </w:pPr>
      <w:r>
        <w:rPr>
          <w:lang w:eastAsia="en-GB"/>
        </w:rPr>
        <w:t>Recognise the subtraction structure of ‘difference’ and answer questions of the form “How many more?”</w:t>
      </w:r>
    </w:p>
    <w:p w14:paraId="14517CE3" w14:textId="1DF0AB09" w:rsidR="00527497" w:rsidRDefault="00527497" w:rsidP="00A95D54">
      <w:pPr>
        <w:pStyle w:val="PolicyBullets"/>
        <w:rPr>
          <w:lang w:eastAsia="en-GB"/>
        </w:rPr>
      </w:pPr>
      <w:r>
        <w:rPr>
          <w:lang w:eastAsia="en-GB"/>
        </w:rPr>
        <w:t xml:space="preserve">Add and subtract within 100 by applying related one-digit addition and subtraction facts: add and subtract only </w:t>
      </w:r>
      <w:r w:rsidR="00AE6D6E">
        <w:rPr>
          <w:lang w:eastAsia="en-GB"/>
        </w:rPr>
        <w:t>1s</w:t>
      </w:r>
      <w:r>
        <w:rPr>
          <w:lang w:eastAsia="en-GB"/>
        </w:rPr>
        <w:t xml:space="preserve"> or only </w:t>
      </w:r>
      <w:r w:rsidR="00AE6D6E">
        <w:rPr>
          <w:lang w:eastAsia="en-GB"/>
        </w:rPr>
        <w:t>10s</w:t>
      </w:r>
      <w:r>
        <w:rPr>
          <w:lang w:eastAsia="en-GB"/>
        </w:rPr>
        <w:t xml:space="preserve"> to or from a two-digit number.</w:t>
      </w:r>
    </w:p>
    <w:p w14:paraId="681ADA8A" w14:textId="4848A965" w:rsidR="00527497" w:rsidRDefault="00527497" w:rsidP="00A95D54">
      <w:pPr>
        <w:pStyle w:val="PolicyBullets"/>
        <w:rPr>
          <w:lang w:eastAsia="en-GB"/>
        </w:rPr>
      </w:pPr>
      <w:r>
        <w:rPr>
          <w:lang w:eastAsia="en-GB"/>
        </w:rPr>
        <w:t>Add and subtract within 100 by applying related one-digit addition and subtraction facts.</w:t>
      </w:r>
    </w:p>
    <w:p w14:paraId="06495A0E" w14:textId="7DE24071" w:rsidR="00527497" w:rsidRPr="000C02E8" w:rsidRDefault="00527497" w:rsidP="00527497">
      <w:pPr>
        <w:pStyle w:val="PolicyBullets"/>
        <w:rPr>
          <w:lang w:eastAsia="en-GB"/>
        </w:rPr>
      </w:pPr>
      <w:r>
        <w:rPr>
          <w:lang w:eastAsia="en-GB"/>
        </w:rPr>
        <w:t>Add and subtract any two</w:t>
      </w:r>
      <w:r w:rsidR="00B10B67">
        <w:rPr>
          <w:lang w:eastAsia="en-GB"/>
        </w:rPr>
        <w:t>-</w:t>
      </w:r>
      <w:r>
        <w:rPr>
          <w:lang w:eastAsia="en-GB"/>
        </w:rPr>
        <w:t>digit numbers.</w:t>
      </w:r>
    </w:p>
    <w:p w14:paraId="38496B34" w14:textId="77777777" w:rsidR="00A95D54" w:rsidRDefault="00A95D54" w:rsidP="00A95D54">
      <w:pPr>
        <w:pStyle w:val="PolicyBullets"/>
        <w:numPr>
          <w:ilvl w:val="0"/>
          <w:numId w:val="0"/>
        </w:numPr>
        <w:spacing w:before="0"/>
        <w:ind w:left="502" w:hanging="360"/>
        <w:rPr>
          <w:b/>
          <w:lang w:eastAsia="en-GB"/>
        </w:rPr>
      </w:pPr>
    </w:p>
    <w:p w14:paraId="73A27EC8" w14:textId="5AF669DC" w:rsidR="00A95D54" w:rsidRDefault="00A95D54" w:rsidP="00A95D54">
      <w:pPr>
        <w:pStyle w:val="PolicyBullets"/>
        <w:numPr>
          <w:ilvl w:val="0"/>
          <w:numId w:val="0"/>
        </w:numPr>
        <w:spacing w:before="0"/>
        <w:ind w:left="502" w:hanging="360"/>
        <w:rPr>
          <w:b/>
          <w:lang w:eastAsia="en-GB"/>
        </w:rPr>
      </w:pPr>
      <w:r w:rsidRPr="000C02E8">
        <w:rPr>
          <w:b/>
          <w:lang w:eastAsia="en-GB"/>
        </w:rPr>
        <w:t>Multiplication and division</w:t>
      </w:r>
    </w:p>
    <w:p w14:paraId="3BE6B724" w14:textId="77777777" w:rsidR="00A95D54" w:rsidRPr="000C02E8" w:rsidRDefault="00A95D54" w:rsidP="00A95D54">
      <w:pPr>
        <w:pStyle w:val="PolicyBullets"/>
        <w:numPr>
          <w:ilvl w:val="0"/>
          <w:numId w:val="0"/>
        </w:numPr>
        <w:spacing w:before="0"/>
        <w:ind w:left="502" w:hanging="360"/>
        <w:rPr>
          <w:b/>
          <w:lang w:eastAsia="en-GB"/>
        </w:rPr>
      </w:pPr>
    </w:p>
    <w:p w14:paraId="3A874B50" w14:textId="6027A93B" w:rsidR="00A95D54" w:rsidRDefault="00527497" w:rsidP="00A95D54">
      <w:pPr>
        <w:pStyle w:val="PolicyBullets"/>
      </w:pPr>
      <w:r>
        <w:rPr>
          <w:lang w:eastAsia="en-GB"/>
        </w:rPr>
        <w:t>Recognise repeated addition contexts, representing them with multiplication equations and calculating the product, within the 2, 5 and 10 multiplication tables.</w:t>
      </w:r>
    </w:p>
    <w:p w14:paraId="73611BD1" w14:textId="6C941F90" w:rsidR="00A95D54" w:rsidRPr="00FF7B72" w:rsidRDefault="00527497" w:rsidP="00C652E7">
      <w:pPr>
        <w:pStyle w:val="PolicyBullets"/>
        <w:rPr>
          <w:b/>
          <w:lang w:eastAsia="en-GB"/>
        </w:rPr>
      </w:pPr>
      <w:r>
        <w:rPr>
          <w:lang w:eastAsia="en-GB"/>
        </w:rPr>
        <w:t>Relate grouping problems where the number of groups is unknown to multiplication equations within a missing factor, and to division equations.</w:t>
      </w:r>
    </w:p>
    <w:p w14:paraId="4D791F6F" w14:textId="77777777" w:rsidR="00A95D54" w:rsidRDefault="00A95D54" w:rsidP="00A95D54">
      <w:pPr>
        <w:pStyle w:val="PolicyBullets"/>
        <w:numPr>
          <w:ilvl w:val="0"/>
          <w:numId w:val="0"/>
        </w:numPr>
        <w:spacing w:before="0"/>
        <w:ind w:left="502" w:hanging="360"/>
        <w:rPr>
          <w:b/>
          <w:lang w:eastAsia="en-GB"/>
        </w:rPr>
      </w:pPr>
    </w:p>
    <w:p w14:paraId="5018F487" w14:textId="2BDA0D73" w:rsidR="00A95D54" w:rsidRDefault="00217F31" w:rsidP="00A95D54">
      <w:pPr>
        <w:pStyle w:val="PolicyBullets"/>
        <w:numPr>
          <w:ilvl w:val="0"/>
          <w:numId w:val="0"/>
        </w:numPr>
        <w:spacing w:before="0"/>
        <w:rPr>
          <w:b/>
          <w:lang w:eastAsia="en-GB"/>
        </w:rPr>
      </w:pPr>
      <w:r>
        <w:rPr>
          <w:b/>
          <w:lang w:eastAsia="en-GB"/>
        </w:rPr>
        <w:t>Geometry</w:t>
      </w:r>
    </w:p>
    <w:p w14:paraId="6869B595" w14:textId="77777777" w:rsidR="00A95D54" w:rsidRPr="000C02E8" w:rsidRDefault="00A95D54" w:rsidP="00A95D54">
      <w:pPr>
        <w:pStyle w:val="PolicyBullets"/>
        <w:numPr>
          <w:ilvl w:val="0"/>
          <w:numId w:val="0"/>
        </w:numPr>
        <w:spacing w:before="0"/>
        <w:rPr>
          <w:b/>
          <w:lang w:eastAsia="en-GB"/>
        </w:rPr>
      </w:pPr>
    </w:p>
    <w:p w14:paraId="450A9659" w14:textId="415253B4" w:rsidR="00A95D54" w:rsidRPr="00FF7B72" w:rsidRDefault="00217F31" w:rsidP="00C652E7">
      <w:pPr>
        <w:pStyle w:val="PolicyBullets"/>
        <w:rPr>
          <w:b/>
          <w:lang w:eastAsia="en-GB"/>
        </w:rPr>
      </w:pPr>
      <w:r>
        <w:t>Use precise language to describe the properties of 2D and 3D shapes, and compare shapes by reasoning about similarities and differences in properties.</w:t>
      </w:r>
    </w:p>
    <w:p w14:paraId="507F6DE7" w14:textId="0AB92EDB" w:rsidR="00A95D54" w:rsidRPr="000C02E8" w:rsidRDefault="00E30E04" w:rsidP="00A95D54">
      <w:pPr>
        <w:pStyle w:val="PolicyBullets"/>
      </w:pPr>
      <w:r>
        <w:t xml:space="preserve">Apply known multiplication and division facts to solve contextual problems with different structures, including quotative and partitive division. </w:t>
      </w:r>
    </w:p>
    <w:p w14:paraId="2D48E687" w14:textId="62525C08" w:rsidR="00F6537D" w:rsidRPr="00360363" w:rsidRDefault="00F6537D" w:rsidP="00A95D54">
      <w:pPr>
        <w:pStyle w:val="PolicyBullets"/>
      </w:pPr>
      <w:r>
        <w:lastRenderedPageBreak/>
        <w:t>Divide 1,000 into 2, 4, 5 and 10 equal parts and read scales/</w:t>
      </w:r>
      <w:r w:rsidR="001D3C6D">
        <w:t>number lines marked in multiples of 1,000 with 2, 4, 5 and 10 equal parts.</w:t>
      </w:r>
    </w:p>
    <w:p w14:paraId="222C3E7F" w14:textId="6204E430" w:rsidR="00A95D54" w:rsidRDefault="002A0147" w:rsidP="00A95D54">
      <w:pPr>
        <w:pStyle w:val="PolicyBullets"/>
      </w:pPr>
      <w:r>
        <w:t>Draw polygons, specified by coordinates in the first quadrant and translate within the first quadrant.</w:t>
      </w:r>
    </w:p>
    <w:p w14:paraId="502936C2" w14:textId="2D7FD428" w:rsidR="002A0147" w:rsidRDefault="002A0147" w:rsidP="00A95D54">
      <w:pPr>
        <w:pStyle w:val="PolicyBullets"/>
      </w:pPr>
      <w:r>
        <w:t xml:space="preserve">Identify regular polygons, including equilateral triangles and </w:t>
      </w:r>
      <w:r w:rsidR="00691E74">
        <w:t>squares, as those in which the side-lengths are equal and the angles are equal.</w:t>
      </w:r>
    </w:p>
    <w:p w14:paraId="1BFAD99A" w14:textId="23BE53FE" w:rsidR="00691E74" w:rsidRDefault="00691E74" w:rsidP="00A95D54">
      <w:pPr>
        <w:pStyle w:val="PolicyBullets"/>
      </w:pPr>
      <w:r>
        <w:t>Find the perimeter of regular and irregular polygons.</w:t>
      </w:r>
    </w:p>
    <w:p w14:paraId="57A9081F" w14:textId="764DF69A" w:rsidR="00691E74" w:rsidRDefault="00691E74" w:rsidP="00A95D54">
      <w:pPr>
        <w:pStyle w:val="PolicyBullets"/>
      </w:pPr>
      <w:r>
        <w:t>Identify line symmetry in 2D shapes presented in different orientations.</w:t>
      </w:r>
    </w:p>
    <w:p w14:paraId="27FA6736" w14:textId="239D5BAB" w:rsidR="00691E74" w:rsidRPr="00360363" w:rsidRDefault="00691E74" w:rsidP="00A95D54">
      <w:pPr>
        <w:pStyle w:val="PolicyBullets"/>
      </w:pPr>
      <w:r>
        <w:t>Reflect shapes in a line of symmetry and complete a symmetric figure or pattern with respect to a specified line of symmetry.</w:t>
      </w:r>
    </w:p>
    <w:p w14:paraId="04BF1E23" w14:textId="0A6B36BC" w:rsidR="000657EA" w:rsidRDefault="000657EA" w:rsidP="00A95D54">
      <w:pPr>
        <w:pStyle w:val="PolicyBullets"/>
      </w:pPr>
      <w:r>
        <w:t>Divide 1 into 2, 4, 5 and 10 equal parts, and read scales/number lines marked in units of 1 with 2, 4, 5 and 10 equal parts.</w:t>
      </w:r>
    </w:p>
    <w:p w14:paraId="4E1F91EE" w14:textId="5ADD2FD4" w:rsidR="000657EA" w:rsidRPr="00360363" w:rsidRDefault="000657EA" w:rsidP="00A95D54">
      <w:pPr>
        <w:pStyle w:val="PolicyBullets"/>
      </w:pPr>
      <w:r>
        <w:t>Convert between units of measures including using common decimals and fractions.</w:t>
      </w:r>
    </w:p>
    <w:p w14:paraId="0D9C1FD0" w14:textId="35014315" w:rsidR="000657EA" w:rsidRDefault="000657EA" w:rsidP="00A95D54">
      <w:pPr>
        <w:pStyle w:val="PolicyBullets"/>
      </w:pPr>
      <w:r>
        <w:t>Multiply any whole number with up to four digits by any one-digit number using a formal written method.</w:t>
      </w:r>
    </w:p>
    <w:p w14:paraId="0C7746D0" w14:textId="55354E52" w:rsidR="000657EA" w:rsidRPr="00360363" w:rsidRDefault="000657EA" w:rsidP="00A95D54">
      <w:pPr>
        <w:pStyle w:val="PolicyBullets"/>
      </w:pPr>
      <w:r>
        <w:t>Divide a number with up to 4 digits by a one-digit number using a formal written method and interpret remainders appropriately for the context.</w:t>
      </w:r>
    </w:p>
    <w:p w14:paraId="0EC3702A" w14:textId="4A9AAE1D" w:rsidR="007C311B" w:rsidRDefault="007C311B" w:rsidP="00A95D54">
      <w:pPr>
        <w:pStyle w:val="PolicyBullets"/>
      </w:pPr>
      <w:r>
        <w:t>Divide powers of 10, from 1 hundredth to 10 million, into 2, 4, 5 and 10 equal parts and read scales/number lines with labelled intervals divided into 2, 4, 5 and 10 equal parts.</w:t>
      </w:r>
    </w:p>
    <w:p w14:paraId="2B1663A8" w14:textId="77777777" w:rsidR="00167028" w:rsidRPr="00012D39" w:rsidRDefault="00167028" w:rsidP="00A95D54">
      <w:pPr>
        <w:pStyle w:val="PolicyBullets"/>
      </w:pPr>
    </w:p>
    <w:p w14:paraId="01F666AD" w14:textId="77777777" w:rsidR="00A95D54" w:rsidRDefault="00A95D54" w:rsidP="00AE6D6E">
      <w:pPr>
        <w:pStyle w:val="Heading10"/>
      </w:pPr>
      <w:bookmarkStart w:id="12" w:name="_Cross-curricular_links"/>
      <w:bookmarkStart w:id="13" w:name="_Cross-curricular_links_1"/>
      <w:bookmarkStart w:id="14" w:name="crosscurricular"/>
      <w:bookmarkEnd w:id="12"/>
      <w:bookmarkEnd w:id="13"/>
      <w:r>
        <w:t xml:space="preserve">Cross-curricular links </w:t>
      </w:r>
    </w:p>
    <w:bookmarkEnd w:id="14"/>
    <w:p w14:paraId="64CDBB82" w14:textId="77777777" w:rsidR="00A95D54" w:rsidRDefault="00A95D54" w:rsidP="00A95D54">
      <w:r>
        <w:t xml:space="preserve">Wherever possible, the maths curriculum will provide opportunities to establish links with other curriculum areas. </w:t>
      </w:r>
    </w:p>
    <w:p w14:paraId="439F6111" w14:textId="77777777" w:rsidR="00A95D54" w:rsidRDefault="00A95D54" w:rsidP="00A95D54">
      <w:pPr>
        <w:rPr>
          <w:b/>
        </w:rPr>
      </w:pPr>
      <w:r>
        <w:rPr>
          <w:b/>
        </w:rPr>
        <w:t>English</w:t>
      </w:r>
    </w:p>
    <w:p w14:paraId="58B51734" w14:textId="2DBC26EA" w:rsidR="00A95D54" w:rsidRDefault="00A95D54" w:rsidP="00A95D54">
      <w:r>
        <w:t>Mathematical terminology is used, where appropriate. Maths-</w:t>
      </w:r>
      <w:r w:rsidRPr="008D5DF1">
        <w:t xml:space="preserve">based texts are sometimes used in English lessons and in guided reading sessions. </w:t>
      </w:r>
    </w:p>
    <w:p w14:paraId="364812D6" w14:textId="77777777" w:rsidR="00A95D54" w:rsidRPr="0071359A" w:rsidRDefault="00A95D54" w:rsidP="00A95D54">
      <w:pPr>
        <w:rPr>
          <w:b/>
        </w:rPr>
      </w:pPr>
      <w:r w:rsidRPr="0071359A">
        <w:rPr>
          <w:b/>
        </w:rPr>
        <w:t>Science</w:t>
      </w:r>
    </w:p>
    <w:p w14:paraId="060779A2" w14:textId="77777777" w:rsidR="00A95D54" w:rsidRDefault="00A95D54" w:rsidP="00A95D54">
      <w:r>
        <w:t xml:space="preserve">Pupils’ data collection and analysis skills are further developed through the conduction of physical experiments, using units of measurement, calculating averages and interpreting results. </w:t>
      </w:r>
    </w:p>
    <w:p w14:paraId="67D1DFD1" w14:textId="77777777" w:rsidR="00A95D54" w:rsidRDefault="00A95D54" w:rsidP="00A95D54">
      <w:r>
        <w:t xml:space="preserve">Pupils record their finding using charts, tables and graphs. </w:t>
      </w:r>
    </w:p>
    <w:p w14:paraId="798435F4" w14:textId="77777777" w:rsidR="00A95D54" w:rsidRDefault="00A95D54" w:rsidP="00A95D54">
      <w:pPr>
        <w:rPr>
          <w:b/>
        </w:rPr>
      </w:pPr>
      <w:r>
        <w:rPr>
          <w:b/>
        </w:rPr>
        <w:t>Humanities</w:t>
      </w:r>
    </w:p>
    <w:p w14:paraId="6016DA75" w14:textId="77777777" w:rsidR="00A95D54" w:rsidRPr="008D5DF1" w:rsidRDefault="00A95D54" w:rsidP="00A95D54">
      <w:r>
        <w:t xml:space="preserve">Data analysis, pattern </w:t>
      </w:r>
      <w:r w:rsidRPr="008D5DF1">
        <w:t>seeking and problem</w:t>
      </w:r>
      <w:r>
        <w:t>-</w:t>
      </w:r>
      <w:r w:rsidRPr="008D5DF1">
        <w:t xml:space="preserve">solving skills are developed through the teaching of geography. </w:t>
      </w:r>
    </w:p>
    <w:p w14:paraId="67C7AE6A" w14:textId="77777777" w:rsidR="00A95D54" w:rsidRPr="008D5DF1" w:rsidRDefault="00A95D54" w:rsidP="00A95D54">
      <w:r w:rsidRPr="008D5DF1">
        <w:t>Pupils</w:t>
      </w:r>
      <w:r>
        <w:t>’</w:t>
      </w:r>
      <w:r w:rsidRPr="008D5DF1">
        <w:t xml:space="preserve"> understanding of time and measurements of time are developed through discussions of historical events. </w:t>
      </w:r>
    </w:p>
    <w:p w14:paraId="727B18A2" w14:textId="77777777" w:rsidR="00A95D54" w:rsidRPr="00BD36F5" w:rsidRDefault="00A95D54" w:rsidP="00A95D54">
      <w:pPr>
        <w:rPr>
          <w:b/>
        </w:rPr>
      </w:pPr>
      <w:r w:rsidRPr="00BD36F5">
        <w:rPr>
          <w:b/>
        </w:rPr>
        <w:t>ICT</w:t>
      </w:r>
    </w:p>
    <w:p w14:paraId="776CEFEA" w14:textId="77777777" w:rsidR="00A95D54" w:rsidRPr="008D5DF1" w:rsidRDefault="00A95D54" w:rsidP="00A95D54">
      <w:r w:rsidRPr="008D5DF1">
        <w:lastRenderedPageBreak/>
        <w:t xml:space="preserve">Pupils are encouraged to use calculators and other electronical devices, gaining confidence throughout their school experience. </w:t>
      </w:r>
    </w:p>
    <w:p w14:paraId="209B76E6" w14:textId="28B68060" w:rsidR="00A95D54" w:rsidRPr="008D5DF1" w:rsidRDefault="00A95D54" w:rsidP="00A95D54">
      <w:r w:rsidRPr="008D5DF1">
        <w:t xml:space="preserve">ICT will be used to enhance pupils’ </w:t>
      </w:r>
      <w:r>
        <w:t>maths skills through the use of online resources and the creation of spreadsheets</w:t>
      </w:r>
      <w:r w:rsidRPr="008D5DF1">
        <w:t>. ICT will</w:t>
      </w:r>
      <w:r w:rsidR="000F3993">
        <w:t xml:space="preserve"> also</w:t>
      </w:r>
      <w:r w:rsidRPr="008D5DF1">
        <w:t xml:space="preserve"> be used to record findings, using text, data and tables. </w:t>
      </w:r>
    </w:p>
    <w:p w14:paraId="072D27AE" w14:textId="77777777" w:rsidR="00A95D54" w:rsidRDefault="00A95D54" w:rsidP="00AE6D6E">
      <w:pPr>
        <w:pStyle w:val="Heading10"/>
      </w:pPr>
      <w:bookmarkStart w:id="15" w:name="_Teaching_and_learning"/>
      <w:bookmarkEnd w:id="15"/>
      <w:r>
        <w:t xml:space="preserve">Teaching and learning </w:t>
      </w:r>
    </w:p>
    <w:p w14:paraId="6A57F4AE" w14:textId="77777777" w:rsidR="00A95D54" w:rsidRDefault="00A95D54" w:rsidP="00A95D54">
      <w:r>
        <w:t xml:space="preserve">Pupils will be taught to describe key characteristics and associated processes in common language, as well as understand and use technical terminology and specialist vocabulary.  </w:t>
      </w:r>
    </w:p>
    <w:p w14:paraId="4B52B970" w14:textId="77777777" w:rsidR="00A95D54" w:rsidRDefault="00A95D54" w:rsidP="00A95D54">
      <w:r>
        <w:t xml:space="preserve">Pupils will undertake independent work, and have the opportunity to work in groups and discuss work with fellow classmates. </w:t>
      </w:r>
    </w:p>
    <w:p w14:paraId="3FA0CBB0" w14:textId="77777777" w:rsidR="00A95D54" w:rsidRDefault="00A95D54" w:rsidP="00A95D54">
      <w:r>
        <w:t>Lessons will allow for a wide range of mathematical, enquiry-based research activities, including the following:</w:t>
      </w:r>
    </w:p>
    <w:p w14:paraId="16B2FC27" w14:textId="77777777" w:rsidR="00A95D54" w:rsidRDefault="00A95D54" w:rsidP="00A95D54">
      <w:pPr>
        <w:pStyle w:val="PolicyBullets"/>
      </w:pPr>
      <w:r>
        <w:t xml:space="preserve">Questioning, predicting and interpreting </w:t>
      </w:r>
    </w:p>
    <w:p w14:paraId="6B801625" w14:textId="77777777" w:rsidR="00A95D54" w:rsidRDefault="00A95D54" w:rsidP="00A95D54">
      <w:pPr>
        <w:pStyle w:val="PolicyBullets"/>
      </w:pPr>
      <w:r>
        <w:t>Pattern seeking</w:t>
      </w:r>
    </w:p>
    <w:p w14:paraId="2BDE6934" w14:textId="77777777" w:rsidR="00A95D54" w:rsidRDefault="00A95D54" w:rsidP="00A95D54">
      <w:pPr>
        <w:pStyle w:val="PolicyBullets"/>
      </w:pPr>
      <w:r>
        <w:t xml:space="preserve">Collaborative work </w:t>
      </w:r>
    </w:p>
    <w:p w14:paraId="0E76A8C4" w14:textId="77777777" w:rsidR="00A95D54" w:rsidRDefault="00A95D54" w:rsidP="00A95D54">
      <w:pPr>
        <w:pStyle w:val="PolicyBullets"/>
      </w:pPr>
      <w:r>
        <w:t>Problem-solving activities</w:t>
      </w:r>
    </w:p>
    <w:p w14:paraId="79351581" w14:textId="77777777" w:rsidR="00A95D54" w:rsidRDefault="00A95D54" w:rsidP="00A95D54">
      <w:pPr>
        <w:pStyle w:val="PolicyBullets"/>
      </w:pPr>
      <w:r>
        <w:t>Classifying and grouping</w:t>
      </w:r>
    </w:p>
    <w:p w14:paraId="0486FFCF" w14:textId="77777777" w:rsidR="00A95D54" w:rsidRPr="007B6111" w:rsidRDefault="00A95D54" w:rsidP="00A95D54">
      <w:r>
        <w:t xml:space="preserve">Lessons will involve the use of a variety of sources, including data, statistics, graphs and charts. </w:t>
      </w:r>
    </w:p>
    <w:p w14:paraId="4A106B1C" w14:textId="77777777" w:rsidR="00A95D54" w:rsidRPr="007B6111" w:rsidRDefault="00A95D54" w:rsidP="00A95D54">
      <w:r w:rsidRPr="007B6111">
        <w:t xml:space="preserve">The </w:t>
      </w:r>
      <w:r w:rsidRPr="00C652E7">
        <w:t>classroom teacher</w:t>
      </w:r>
      <w:r w:rsidRPr="007B6111">
        <w:t xml:space="preserve">, in collaboration with the </w:t>
      </w:r>
      <w:r w:rsidRPr="00C652E7">
        <w:t>subject leader</w:t>
      </w:r>
      <w:r w:rsidRPr="007B6111">
        <w:t>, will ensure that the needs of all pupils are met by:</w:t>
      </w:r>
    </w:p>
    <w:p w14:paraId="72E9F2E0" w14:textId="77777777" w:rsidR="00A95D54" w:rsidRDefault="00A95D54" w:rsidP="00A95D54">
      <w:pPr>
        <w:pStyle w:val="PolicyBullets"/>
      </w:pPr>
      <w:r>
        <w:t xml:space="preserve">Setting tasks which can have a variety of responses. </w:t>
      </w:r>
    </w:p>
    <w:p w14:paraId="1417762F" w14:textId="77777777" w:rsidR="00A95D54" w:rsidRDefault="00A95D54" w:rsidP="00A95D54">
      <w:pPr>
        <w:pStyle w:val="PolicyBullets"/>
      </w:pPr>
      <w:r>
        <w:t>Providing resources of differing complexity, according to the ability of the pupils.</w:t>
      </w:r>
    </w:p>
    <w:p w14:paraId="631DB7D2" w14:textId="77777777" w:rsidR="00A95D54" w:rsidRDefault="00A95D54" w:rsidP="00A95D54">
      <w:pPr>
        <w:pStyle w:val="PolicyBullets"/>
      </w:pPr>
      <w:r>
        <w:t xml:space="preserve">Setting tasks of varying difficulty, depending on the ability group. </w:t>
      </w:r>
    </w:p>
    <w:p w14:paraId="0621EFD3" w14:textId="77777777" w:rsidR="00A95D54" w:rsidRDefault="00A95D54" w:rsidP="00A95D54">
      <w:pPr>
        <w:pStyle w:val="PolicyBullets"/>
      </w:pPr>
      <w:r>
        <w:t xml:space="preserve">Utilising teaching assistants to ensure that pupils are effectively supported. </w:t>
      </w:r>
    </w:p>
    <w:p w14:paraId="5EFA20C8" w14:textId="77777777" w:rsidR="00A95D54" w:rsidRDefault="00A95D54" w:rsidP="00A95D54">
      <w:r>
        <w:t xml:space="preserve">A maths mastery approach is taken to the curriculum, in which fluency comes from deep knowledge and practice. This means that structured questioning is used to ensure that pupils develop fluent technical proficiency and think deeply about the underpinning mathematical concepts. </w:t>
      </w:r>
    </w:p>
    <w:p w14:paraId="3CC87C29" w14:textId="77777777" w:rsidR="00A95D54" w:rsidRDefault="00A95D54" w:rsidP="00A95D54">
      <w:r>
        <w:t xml:space="preserve">Focus is put on the development of deep structural knowledge and the ability to make connections, with the aim of ensuring that what is learnt is sustained over time. </w:t>
      </w:r>
    </w:p>
    <w:p w14:paraId="7250131F" w14:textId="12EB14D9" w:rsidR="00A95D54" w:rsidRDefault="00A95D54" w:rsidP="00A95D54">
      <w:r>
        <w:t xml:space="preserve">The school does not prioritise between technical proficiency and conceptual understanding, and we aim to develop these in parallel. </w:t>
      </w:r>
    </w:p>
    <w:p w14:paraId="04FA917D" w14:textId="77777777" w:rsidR="00A95D54" w:rsidRDefault="00A95D54" w:rsidP="00AE6D6E">
      <w:pPr>
        <w:pStyle w:val="Heading10"/>
      </w:pPr>
      <w:bookmarkStart w:id="16" w:name="_Planning"/>
      <w:bookmarkEnd w:id="16"/>
      <w:r>
        <w:t xml:space="preserve">Planning </w:t>
      </w:r>
    </w:p>
    <w:p w14:paraId="1BAC1A64" w14:textId="77777777" w:rsidR="00A95D54" w:rsidRDefault="00A95D54" w:rsidP="00A95D54">
      <w:r>
        <w:t xml:space="preserve">All relevant staff members are briefed on the school’s planning procedures as part of their staff training. </w:t>
      </w:r>
    </w:p>
    <w:p w14:paraId="347D27B9" w14:textId="06DBE0FA" w:rsidR="00A95D54" w:rsidRDefault="00A95D54" w:rsidP="00A95D54">
      <w:r w:rsidRPr="00776AF3">
        <w:lastRenderedPageBreak/>
        <w:t>Throughout</w:t>
      </w:r>
      <w:r>
        <w:t xml:space="preserve"> the school</w:t>
      </w:r>
      <w:r w:rsidRPr="00776AF3">
        <w:t xml:space="preserve">, </w:t>
      </w:r>
      <w:r>
        <w:t>maths</w:t>
      </w:r>
      <w:r w:rsidRPr="00776AF3">
        <w:t xml:space="preserve"> is taught as a discrete lesson and as part of cross-curricular themes when appropriate. </w:t>
      </w:r>
    </w:p>
    <w:p w14:paraId="4069C34B" w14:textId="3C528580" w:rsidR="00A95D54" w:rsidRDefault="00A95D54" w:rsidP="00A95D54">
      <w:r>
        <w:t>Teachers will use the key learning content in the DfE’s statutory guidance ‘National curriculum in England: mathematics programmes of study’</w:t>
      </w:r>
      <w:r w:rsidR="00C92911">
        <w:t>.</w:t>
      </w:r>
      <w:r>
        <w:t xml:space="preserve">  </w:t>
      </w:r>
    </w:p>
    <w:p w14:paraId="285E94A5" w14:textId="03F9346C" w:rsidR="00A95D54" w:rsidRDefault="00A95D54" w:rsidP="00A95D54">
      <w:r>
        <w:t xml:space="preserve">Lesson plans will demonstrate a balance of interactive and independent elements used in teaching, ensuring that all pupils engage with their learning. There will be a clear focus on direct, instructional teaching and interactive oral work with the whole class and targeted groups. </w:t>
      </w:r>
    </w:p>
    <w:p w14:paraId="4F794007" w14:textId="77777777" w:rsidR="00A95D54" w:rsidRPr="00776AF3" w:rsidRDefault="00A95D54" w:rsidP="00A95D54">
      <w:r>
        <w:t xml:space="preserve">Teachers will ensure that all maths lessons include a focus on mental calculation. </w:t>
      </w:r>
    </w:p>
    <w:p w14:paraId="799A2E52" w14:textId="77777777" w:rsidR="00A95D54" w:rsidRDefault="00A95D54" w:rsidP="00A95D54">
      <w:r>
        <w:t xml:space="preserve">Long-term planning will be used to outline the units to be taught within each year group.   </w:t>
      </w:r>
    </w:p>
    <w:p w14:paraId="3C8BC102" w14:textId="236D6664" w:rsidR="00A95D54" w:rsidRPr="00173CE0" w:rsidRDefault="00A95D54" w:rsidP="00A95D54">
      <w:r>
        <w:t>Medium-term planning will be used to outline the vocabulary and skills that will be taught in each unit of work, as well as highlight the opportunities for assessment. Medium-term plans will identify learning objectives, main learning activities and differentiation. Medium-term plans will be shared with the</w:t>
      </w:r>
      <w:r w:rsidRPr="00484DB4">
        <w:rPr>
          <w:b/>
          <w:color w:val="FFD006"/>
        </w:rPr>
        <w:t xml:space="preserve"> </w:t>
      </w:r>
      <w:r w:rsidRPr="002C6893">
        <w:t>subject leader to</w:t>
      </w:r>
      <w:r>
        <w:t xml:space="preserve"> ensure there is progression between years. </w:t>
      </w:r>
    </w:p>
    <w:p w14:paraId="183529D1" w14:textId="36FDE06C" w:rsidR="00A95D54" w:rsidRDefault="00A95D54" w:rsidP="00A95D54">
      <w:r>
        <w:t xml:space="preserve">Short-term planning will be used flexibly to reflect the objectives of the lesson, the success criteria and the aims of the next lesson. Short-term planning is the responsibility of the teacher. This is achieved by building on their medium-term planning, </w:t>
      </w:r>
      <w:proofErr w:type="gramStart"/>
      <w:r>
        <w:t>taking into account</w:t>
      </w:r>
      <w:proofErr w:type="gramEnd"/>
      <w:r>
        <w:t xml:space="preserve"> pupils’ needs and identifying the method in which topics could be taught. </w:t>
      </w:r>
    </w:p>
    <w:p w14:paraId="4A91F830" w14:textId="77777777" w:rsidR="00A95D54" w:rsidRDefault="00A95D54" w:rsidP="00A95D54">
      <w:r>
        <w:t xml:space="preserve">All lessons will have clear learning objectives, which are shared and reviewed with pupils. </w:t>
      </w:r>
    </w:p>
    <w:p w14:paraId="44E8BEA1" w14:textId="0A5CB747" w:rsidR="00A95D54" w:rsidRDefault="00A95D54" w:rsidP="00A95D54">
      <w:r>
        <w:t xml:space="preserve">Homework will be set on a </w:t>
      </w:r>
      <w:r w:rsidRPr="002C6893">
        <w:rPr>
          <w:b/>
          <w:color w:val="FF6900"/>
          <w:u w:val="single"/>
        </w:rPr>
        <w:t>weekly</w:t>
      </w:r>
      <w:r>
        <w:t xml:space="preserve"> basis and will build on that week’s lesson objectives. Homework will take a variety of formats, including mental maths tasks, games, data analysis activities and written tasks. </w:t>
      </w:r>
    </w:p>
    <w:p w14:paraId="2FE5ECEC" w14:textId="77777777" w:rsidR="00A95D54" w:rsidRDefault="00A95D54" w:rsidP="00AE6D6E">
      <w:pPr>
        <w:pStyle w:val="Heading10"/>
      </w:pPr>
      <w:bookmarkStart w:id="17" w:name="_Assessment_and_reporting"/>
      <w:bookmarkEnd w:id="17"/>
      <w:r>
        <w:t xml:space="preserve">Assessment and reporting </w:t>
      </w:r>
    </w:p>
    <w:p w14:paraId="22BEE9AF" w14:textId="77777777" w:rsidR="00A95D54" w:rsidRPr="002C6893" w:rsidRDefault="00A95D54" w:rsidP="00A95D54">
      <w:r>
        <w:t xml:space="preserve">Pupils will be assessed and their progression recorded in line with the school’s </w:t>
      </w:r>
      <w:r w:rsidRPr="002C6893">
        <w:t xml:space="preserve">Primary Assessment Policy. </w:t>
      </w:r>
    </w:p>
    <w:p w14:paraId="1117B126" w14:textId="77777777" w:rsidR="00A95D54" w:rsidRDefault="00A95D54" w:rsidP="00A95D54">
      <w:r>
        <w:t>Pupils aged between two and three will be assessed in accordance with the ‘Statutory framework for the early years foundation stage’, in order to identify a pupil’s strengths and identify areas where progress is less than expected.</w:t>
      </w:r>
    </w:p>
    <w:p w14:paraId="54F3B8B9" w14:textId="77777777" w:rsidR="00A95D54" w:rsidRDefault="00A95D54" w:rsidP="00A95D54">
      <w:r>
        <w:t xml:space="preserve">An EYFS Profile will be completed for each pupil in the final term of the year in which they reach age five. </w:t>
      </w:r>
    </w:p>
    <w:p w14:paraId="25027AB5" w14:textId="77777777" w:rsidR="00A95D54" w:rsidRDefault="00A95D54" w:rsidP="00A95D54">
      <w:r>
        <w:t xml:space="preserve">The progress and development of pupils within the EYFS is assessed against the early learning goals outlined in the ‘Statutory framework for the early years foundation stage’. </w:t>
      </w:r>
    </w:p>
    <w:p w14:paraId="6B2A4200" w14:textId="77777777" w:rsidR="00A95D54" w:rsidRDefault="00A95D54" w:rsidP="00A95D54">
      <w:r>
        <w:t xml:space="preserve">Throughout the year, teachers will plan on-going creative assessment opportunities in order to gauge whether pupils have achieved the key learning objectives. </w:t>
      </w:r>
    </w:p>
    <w:p w14:paraId="4F32E872" w14:textId="77777777" w:rsidR="00A95D54" w:rsidRDefault="00A95D54" w:rsidP="00A95D54">
      <w:r>
        <w:t>Assessment will be undertaken in various forms, including the following:</w:t>
      </w:r>
    </w:p>
    <w:p w14:paraId="6F0C2D5C" w14:textId="77777777" w:rsidR="00A95D54" w:rsidRDefault="00A95D54" w:rsidP="00A95D54">
      <w:pPr>
        <w:pStyle w:val="PolicyBullets"/>
      </w:pPr>
      <w:r>
        <w:t>Talking to pupils and asking questions</w:t>
      </w:r>
    </w:p>
    <w:p w14:paraId="41351B5B" w14:textId="77777777" w:rsidR="00A95D54" w:rsidRDefault="00A95D54" w:rsidP="00A95D54">
      <w:pPr>
        <w:pStyle w:val="PolicyBullets"/>
      </w:pPr>
      <w:r>
        <w:lastRenderedPageBreak/>
        <w:t>Discussing pupils’ work with them</w:t>
      </w:r>
    </w:p>
    <w:p w14:paraId="2D67527E" w14:textId="77777777" w:rsidR="00A95D54" w:rsidRDefault="00A95D54" w:rsidP="00A95D54">
      <w:pPr>
        <w:pStyle w:val="PolicyBullets"/>
      </w:pPr>
      <w:r>
        <w:t>Marking work against the learning objectives</w:t>
      </w:r>
    </w:p>
    <w:p w14:paraId="6FD47CD8" w14:textId="77777777" w:rsidR="00A95D54" w:rsidRDefault="00A95D54" w:rsidP="00A95D54">
      <w:pPr>
        <w:pStyle w:val="PolicyBullets"/>
      </w:pPr>
      <w:r>
        <w:t>Pupils’ self-evaluation of their work</w:t>
      </w:r>
    </w:p>
    <w:p w14:paraId="45C658D7" w14:textId="77777777" w:rsidR="00A95D54" w:rsidRPr="00D330E9" w:rsidRDefault="00A95D54" w:rsidP="00A95D54">
      <w:pPr>
        <w:pStyle w:val="PolicyBullets"/>
      </w:pPr>
      <w:r>
        <w:t xml:space="preserve">Classroom tests and formal exams </w:t>
      </w:r>
    </w:p>
    <w:p w14:paraId="654AF902" w14:textId="77777777" w:rsidR="00A95D54" w:rsidRDefault="00A95D54" w:rsidP="00A95D54">
      <w:r>
        <w:t xml:space="preserve">Formative assessment, which is carried out informally throughout the year, enables teachers to identify pupils’ understanding of subjects and inform their immediate lesson planning.  </w:t>
      </w:r>
    </w:p>
    <w:p w14:paraId="083FB7D1" w14:textId="77777777" w:rsidR="00A95D54" w:rsidRDefault="00A95D54" w:rsidP="00A95D54">
      <w:r>
        <w:t xml:space="preserve">In terms of summative assessments, the results of end-of-year assessments will be passed to relevant members of staff, such as the pupil’s future teacher, in order to demonstrate where pupils are at a given point in time. </w:t>
      </w:r>
    </w:p>
    <w:p w14:paraId="0F7B8A98" w14:textId="77777777" w:rsidR="00A95D54" w:rsidRDefault="00A95D54" w:rsidP="00A95D54">
      <w:r>
        <w:t xml:space="preserve">Standardised tests will be used once a year, towards the end of the academic year, to measure each pupil’s attainment in all areas of maths. These results will be compared with an ‘average’ for all pupils of that age. </w:t>
      </w:r>
    </w:p>
    <w:p w14:paraId="1180AF81" w14:textId="77777777" w:rsidR="00A95D54" w:rsidRDefault="00A95D54" w:rsidP="00A95D54">
      <w:r>
        <w:t>P</w:t>
      </w:r>
      <w:r w:rsidRPr="00F76121">
        <w:t xml:space="preserve">arents will be provided </w:t>
      </w:r>
      <w:r>
        <w:t xml:space="preserve">with a written report about their child’s progress </w:t>
      </w:r>
      <w:r w:rsidRPr="00F76121">
        <w:t xml:space="preserve">during the </w:t>
      </w:r>
      <w:r w:rsidRPr="002C6893">
        <w:rPr>
          <w:b/>
          <w:color w:val="FF6900"/>
          <w:u w:val="single"/>
        </w:rPr>
        <w:t>Summer</w:t>
      </w:r>
      <w:r w:rsidRPr="002C6893">
        <w:rPr>
          <w:color w:val="FF6900"/>
          <w:u w:val="single"/>
        </w:rPr>
        <w:t xml:space="preserve"> </w:t>
      </w:r>
      <w:r w:rsidRPr="00F76121">
        <w:t xml:space="preserve">term every year. These will include information on the pupil’s attitude towards </w:t>
      </w:r>
      <w:r>
        <w:t>maths</w:t>
      </w:r>
      <w:r w:rsidRPr="00F76121">
        <w:t xml:space="preserve">, </w:t>
      </w:r>
      <w:r>
        <w:t>understanding of mathematical terminology, investigatory skills</w:t>
      </w:r>
      <w:r w:rsidRPr="00F76121">
        <w:t xml:space="preserve"> and the knowledge levels they have achieved. </w:t>
      </w:r>
    </w:p>
    <w:p w14:paraId="10D9A9E1" w14:textId="77777777" w:rsidR="00A95D54" w:rsidRPr="00F76121" w:rsidRDefault="00A95D54" w:rsidP="00A95D54">
      <w:r w:rsidRPr="00F76121">
        <w:t xml:space="preserve">Verbal reports will be provided at parent-teacher interviews during the </w:t>
      </w:r>
      <w:r w:rsidRPr="002C6893">
        <w:rPr>
          <w:b/>
          <w:color w:val="FF6900"/>
          <w:u w:val="single"/>
        </w:rPr>
        <w:t>Autumn</w:t>
      </w:r>
      <w:r w:rsidRPr="00F76121">
        <w:t xml:space="preserve"> and </w:t>
      </w:r>
      <w:r w:rsidRPr="002C6893">
        <w:rPr>
          <w:b/>
          <w:color w:val="FF6900"/>
          <w:u w:val="single"/>
        </w:rPr>
        <w:t>Spring</w:t>
      </w:r>
      <w:r w:rsidRPr="002C6893">
        <w:rPr>
          <w:color w:val="FF6900"/>
          <w:u w:val="single"/>
        </w:rPr>
        <w:t xml:space="preserve"> </w:t>
      </w:r>
      <w:r w:rsidRPr="00F76121">
        <w:t xml:space="preserve">terms. </w:t>
      </w:r>
    </w:p>
    <w:p w14:paraId="0956D131" w14:textId="77777777" w:rsidR="00A95D54" w:rsidRPr="002C6893" w:rsidRDefault="00A95D54" w:rsidP="00A95D54">
      <w:r>
        <w:t xml:space="preserve">The progress of pupils with SEND will be monitored by the </w:t>
      </w:r>
      <w:r w:rsidRPr="002C6893">
        <w:t xml:space="preserve">SENCO. </w:t>
      </w:r>
    </w:p>
    <w:p w14:paraId="62A3FDF8" w14:textId="77777777" w:rsidR="00A95D54" w:rsidRDefault="00A95D54" w:rsidP="00AE6D6E">
      <w:pPr>
        <w:pStyle w:val="Heading10"/>
      </w:pPr>
      <w:bookmarkStart w:id="18" w:name="_Equipment_and_resources"/>
      <w:bookmarkStart w:id="19" w:name="_Health_and_safety"/>
      <w:bookmarkStart w:id="20" w:name="_Monitoring_and_review"/>
      <w:bookmarkStart w:id="21" w:name="_Resources"/>
      <w:bookmarkStart w:id="22" w:name="resources"/>
      <w:bookmarkEnd w:id="18"/>
      <w:bookmarkEnd w:id="19"/>
      <w:bookmarkEnd w:id="20"/>
      <w:bookmarkEnd w:id="21"/>
      <w:r>
        <w:t>Resources</w:t>
      </w:r>
    </w:p>
    <w:bookmarkEnd w:id="22"/>
    <w:p w14:paraId="485303A3" w14:textId="77777777" w:rsidR="00A95D54" w:rsidRDefault="00A95D54" w:rsidP="00A95D54">
      <w:r w:rsidRPr="002C6893">
        <w:t>The subject leader</w:t>
      </w:r>
      <w:r w:rsidRPr="001735F9">
        <w:rPr>
          <w:color w:val="FFD006"/>
        </w:rPr>
        <w:t xml:space="preserve"> </w:t>
      </w:r>
      <w:r>
        <w:t>is responsible for the management and maintenance of maths resources, as well as for liaising with the SBM</w:t>
      </w:r>
      <w:r w:rsidRPr="001735F9">
        <w:rPr>
          <w:color w:val="FFD006"/>
        </w:rPr>
        <w:t xml:space="preserve"> </w:t>
      </w:r>
      <w:r>
        <w:t xml:space="preserve">in order to purchase further resources. </w:t>
      </w:r>
    </w:p>
    <w:p w14:paraId="33BF5750" w14:textId="18270C6F" w:rsidR="00A95D54" w:rsidRDefault="00A95D54" w:rsidP="00A95D54">
      <w:r>
        <w:t xml:space="preserve">Maths resources will be stored in </w:t>
      </w:r>
      <w:r w:rsidR="00167028">
        <w:rPr>
          <w:b/>
          <w:color w:val="FF6900"/>
          <w:u w:val="single"/>
        </w:rPr>
        <w:t>classrooms</w:t>
      </w:r>
      <w:r w:rsidRPr="00A53CA8">
        <w:t xml:space="preserve">, including </w:t>
      </w:r>
      <w:r w:rsidR="00167028">
        <w:t>number lines</w:t>
      </w:r>
      <w:r w:rsidRPr="00A53CA8">
        <w:t>, rule</w:t>
      </w:r>
      <w:r w:rsidR="00167028">
        <w:t>r</w:t>
      </w:r>
      <w:r w:rsidRPr="00A53CA8">
        <w:t>s and</w:t>
      </w:r>
      <w:r w:rsidR="00167028">
        <w:t xml:space="preserve"> </w:t>
      </w:r>
      <w:proofErr w:type="spellStart"/>
      <w:r w:rsidR="00167028">
        <w:t>numicon</w:t>
      </w:r>
      <w:proofErr w:type="spellEnd"/>
      <w:r w:rsidR="00167028">
        <w:t>.</w:t>
      </w:r>
      <w:r w:rsidRPr="00A53CA8">
        <w:t xml:space="preserve"> </w:t>
      </w:r>
    </w:p>
    <w:p w14:paraId="4E855C66" w14:textId="789D5DF1" w:rsidR="00A95D54" w:rsidRDefault="00A95D54" w:rsidP="00A95D54">
      <w:r>
        <w:t xml:space="preserve">Resources which are not required regularly, and those in relation to key whole-school topics, will be stored in the </w:t>
      </w:r>
      <w:r w:rsidR="00167028">
        <w:rPr>
          <w:b/>
          <w:color w:val="FF6900"/>
          <w:u w:val="single"/>
        </w:rPr>
        <w:t>meeting room</w:t>
      </w:r>
      <w:r>
        <w:t xml:space="preserve">. </w:t>
      </w:r>
    </w:p>
    <w:p w14:paraId="6D3681B4" w14:textId="77777777" w:rsidR="00A95D54" w:rsidRDefault="00A95D54" w:rsidP="00A95D54">
      <w:r>
        <w:t xml:space="preserve">Display walls will be utilised and updated regularly, in accordance with the area of maths being taught at the time. </w:t>
      </w:r>
    </w:p>
    <w:p w14:paraId="5F1ACF9F" w14:textId="77777777" w:rsidR="00A95D54" w:rsidRDefault="00A95D54" w:rsidP="00A95D54">
      <w:r>
        <w:t xml:space="preserve">Maths equipment and resources will be easily accessible to pupils during lessons. </w:t>
      </w:r>
    </w:p>
    <w:p w14:paraId="229C0312" w14:textId="77777777" w:rsidR="00A95D54" w:rsidRPr="00A53CA8" w:rsidRDefault="00A95D54" w:rsidP="00A95D54">
      <w:r>
        <w:t xml:space="preserve">The </w:t>
      </w:r>
      <w:r w:rsidRPr="002C6893">
        <w:t>subject leader</w:t>
      </w:r>
      <w:r w:rsidRPr="001735F9">
        <w:rPr>
          <w:color w:val="FFD006"/>
        </w:rPr>
        <w:t xml:space="preserve"> </w:t>
      </w:r>
      <w:r>
        <w:t xml:space="preserve">will undertake an audit of maths equipment and resources on an </w:t>
      </w:r>
      <w:r w:rsidRPr="002C6893">
        <w:rPr>
          <w:b/>
          <w:color w:val="FF6900"/>
          <w:u w:val="single"/>
        </w:rPr>
        <w:t>annual</w:t>
      </w:r>
      <w:r>
        <w:t xml:space="preserve"> basis.  </w:t>
      </w:r>
    </w:p>
    <w:p w14:paraId="562E8A20" w14:textId="77777777" w:rsidR="00A95D54" w:rsidRDefault="00A95D54" w:rsidP="00C652E7">
      <w:pPr>
        <w:pStyle w:val="Heading10"/>
      </w:pPr>
      <w:bookmarkStart w:id="23" w:name="_Equal_opportunities"/>
      <w:bookmarkStart w:id="24" w:name="_Equal_opportunities_1"/>
      <w:bookmarkStart w:id="25" w:name="equalopportunities"/>
      <w:bookmarkEnd w:id="23"/>
      <w:bookmarkEnd w:id="24"/>
      <w:r>
        <w:t xml:space="preserve">Equal opportunities </w:t>
      </w:r>
    </w:p>
    <w:bookmarkEnd w:id="25"/>
    <w:p w14:paraId="5275DD7E" w14:textId="537D7E4D" w:rsidR="00A95D54" w:rsidRPr="00AE0DFC" w:rsidRDefault="00E963A9" w:rsidP="00A95D54">
      <w:r>
        <w:t>In accordance with the school’s Equality Information and Objectives Policy, a</w:t>
      </w:r>
      <w:r w:rsidR="00A95D54" w:rsidRPr="00AE0DFC">
        <w:t xml:space="preserve">ll pupils will have equal access to the </w:t>
      </w:r>
      <w:r w:rsidR="00A95D54">
        <w:t>maths curriculum</w:t>
      </w:r>
      <w:r w:rsidR="00A95D54" w:rsidRPr="00AE0DFC">
        <w:t xml:space="preserve">. </w:t>
      </w:r>
    </w:p>
    <w:p w14:paraId="0EBF0BE2" w14:textId="77777777" w:rsidR="00A95D54" w:rsidRPr="00AE0DFC" w:rsidRDefault="00A95D54" w:rsidP="00A95D54">
      <w:r w:rsidRPr="00AE0DFC">
        <w:t xml:space="preserve">Gender, learning ability, physical ability, ethnicity, linguistic ability and/or cultural circumstances will not impede pupils from accessing all </w:t>
      </w:r>
      <w:r>
        <w:t xml:space="preserve">maths </w:t>
      </w:r>
      <w:r w:rsidRPr="00AE0DFC">
        <w:t xml:space="preserve">lessons. </w:t>
      </w:r>
    </w:p>
    <w:p w14:paraId="5237A029" w14:textId="77777777" w:rsidR="00A95D54" w:rsidRPr="00AE0DFC" w:rsidRDefault="00A95D54" w:rsidP="00A95D54">
      <w:r w:rsidRPr="00AE0DFC">
        <w:lastRenderedPageBreak/>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14:paraId="3B08348A" w14:textId="77777777" w:rsidR="00A95D54" w:rsidRPr="00AE0DFC" w:rsidRDefault="00A95D54" w:rsidP="00A95D54">
      <w:r w:rsidRPr="00AE0DFC">
        <w:t>All efforts will be made to ensure that cultural and gender differences will be positively reflected in all lessons and teaching materials used.</w:t>
      </w:r>
    </w:p>
    <w:p w14:paraId="44D45E56" w14:textId="56495F91" w:rsidR="00A95D54" w:rsidRPr="00AE0DFC" w:rsidRDefault="00FF7B72" w:rsidP="00A95D54">
      <w:r w:rsidRPr="00C652E7">
        <w:t>The school aims</w:t>
      </w:r>
      <w:r w:rsidR="00A95D54" w:rsidRPr="00AE0DFC">
        <w:t xml:space="preserve"> to provide </w:t>
      </w:r>
      <w:r>
        <w:t>academically more able</w:t>
      </w:r>
      <w:r w:rsidR="00A95D54" w:rsidRPr="00AE0DFC">
        <w:t xml:space="preserve"> pupils with the opportunity to extend their </w:t>
      </w:r>
      <w:r w:rsidR="00A95D54">
        <w:t xml:space="preserve">mathematic </w:t>
      </w:r>
      <w:r w:rsidR="00A95D54" w:rsidRPr="00AE0DFC">
        <w:t xml:space="preserve">thinking through extension activities such as problem solving, investigative work and research of a </w:t>
      </w:r>
      <w:r w:rsidR="00A95D54">
        <w:t xml:space="preserve">mathematic </w:t>
      </w:r>
      <w:r w:rsidR="00A95D54" w:rsidRPr="00AE0DFC">
        <w:t>nature.</w:t>
      </w:r>
    </w:p>
    <w:p w14:paraId="2233D8AB" w14:textId="77777777" w:rsidR="00A95D54" w:rsidRDefault="00A95D54" w:rsidP="00C652E7">
      <w:pPr>
        <w:pStyle w:val="Heading10"/>
      </w:pPr>
      <w:bookmarkStart w:id="26" w:name="_Monitoring_and_review_1"/>
      <w:bookmarkEnd w:id="26"/>
      <w:r>
        <w:t xml:space="preserve">Monitoring and review </w:t>
      </w:r>
    </w:p>
    <w:p w14:paraId="3A0BE047" w14:textId="77777777" w:rsidR="00A95D54" w:rsidRDefault="00A95D54" w:rsidP="00A95D54">
      <w:r>
        <w:t xml:space="preserve">This policy will be reviewed on an </w:t>
      </w:r>
      <w:r w:rsidRPr="002C6893">
        <w:rPr>
          <w:b/>
          <w:color w:val="FF6900"/>
          <w:u w:val="single"/>
        </w:rPr>
        <w:t>annual</w:t>
      </w:r>
      <w:r>
        <w:t xml:space="preserve"> basis by the </w:t>
      </w:r>
      <w:r w:rsidRPr="002C6893">
        <w:t>subject leader</w:t>
      </w:r>
      <w:r>
        <w:t xml:space="preserve">. </w:t>
      </w:r>
    </w:p>
    <w:p w14:paraId="74A7DA8F" w14:textId="3674F500" w:rsidR="00A95D54" w:rsidRDefault="00A95D54" w:rsidP="00A95D54">
      <w:r>
        <w:t xml:space="preserve">The </w:t>
      </w:r>
      <w:r w:rsidRPr="002C6893">
        <w:t>subject leader</w:t>
      </w:r>
      <w:r>
        <w:t xml:space="preserve"> will monitor teaching and learning in the subject at </w:t>
      </w:r>
      <w:r w:rsidR="00167028">
        <w:rPr>
          <w:b/>
          <w:color w:val="FF6900"/>
          <w:u w:val="single"/>
        </w:rPr>
        <w:t>Royd Nursery Infant School</w:t>
      </w:r>
      <w:r>
        <w:t xml:space="preserve"> ensuring that the content of the national curriculum is covered across all phases of pupils’ education. </w:t>
      </w:r>
    </w:p>
    <w:p w14:paraId="667886D3" w14:textId="77777777" w:rsidR="00A95D54" w:rsidRDefault="00A95D54" w:rsidP="00A95D54">
      <w:r>
        <w:t xml:space="preserve">A named </w:t>
      </w:r>
      <w:r w:rsidRPr="002C6893">
        <w:t>member of the governing body is briefed to oversee the teaching of numeracy, and meets regularly with the subject leader to</w:t>
      </w:r>
      <w:r>
        <w:t xml:space="preserve"> review progress.</w:t>
      </w:r>
    </w:p>
    <w:p w14:paraId="16DB1557" w14:textId="29C6C1EB" w:rsidR="00A95D54" w:rsidRPr="00A95D54" w:rsidRDefault="00A95D54" w:rsidP="00A95D54">
      <w:r>
        <w:t xml:space="preserve">Any changes made to this policy will be communicated to all teaching staff. </w:t>
      </w:r>
    </w:p>
    <w:sectPr w:rsidR="00A95D54" w:rsidRPr="00A95D54" w:rsidSect="00EA743B">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7C46" w14:textId="77777777" w:rsidR="00086F03" w:rsidRDefault="00086F03" w:rsidP="00AD4155">
      <w:r>
        <w:separator/>
      </w:r>
    </w:p>
  </w:endnote>
  <w:endnote w:type="continuationSeparator" w:id="0">
    <w:p w14:paraId="222A8444" w14:textId="77777777" w:rsidR="00086F03" w:rsidRDefault="00086F0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A909782-C809-48EF-B527-1ECAFF5A8F4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140B" w14:textId="77777777" w:rsidR="00086F03" w:rsidRDefault="00086F03" w:rsidP="00AD4155">
      <w:r>
        <w:separator/>
      </w:r>
    </w:p>
  </w:footnote>
  <w:footnote w:type="continuationSeparator" w:id="0">
    <w:p w14:paraId="6B988DB3" w14:textId="77777777" w:rsidR="00086F03" w:rsidRDefault="00086F0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8"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A9A"/>
    <w:multiLevelType w:val="hybridMultilevel"/>
    <w:tmpl w:val="D5D4C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A479DF"/>
    <w:multiLevelType w:val="hybridMultilevel"/>
    <w:tmpl w:val="4DE49A2E"/>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C7419"/>
    <w:multiLevelType w:val="hybridMultilevel"/>
    <w:tmpl w:val="76BE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859AF"/>
    <w:multiLevelType w:val="hybridMultilevel"/>
    <w:tmpl w:val="995E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A320D"/>
    <w:multiLevelType w:val="hybridMultilevel"/>
    <w:tmpl w:val="57BE6960"/>
    <w:lvl w:ilvl="0" w:tplc="9F96B55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F14A5A"/>
    <w:multiLevelType w:val="hybridMultilevel"/>
    <w:tmpl w:val="51C8E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FE096C"/>
    <w:multiLevelType w:val="hybridMultilevel"/>
    <w:tmpl w:val="5A5E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F440F"/>
    <w:multiLevelType w:val="hybridMultilevel"/>
    <w:tmpl w:val="63CA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A7139"/>
    <w:multiLevelType w:val="hybridMultilevel"/>
    <w:tmpl w:val="E216E1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D00B6C"/>
    <w:multiLevelType w:val="hybridMultilevel"/>
    <w:tmpl w:val="D0D05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F1612"/>
    <w:multiLevelType w:val="hybridMultilevel"/>
    <w:tmpl w:val="D8827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C774F"/>
    <w:multiLevelType w:val="hybridMultilevel"/>
    <w:tmpl w:val="C7AA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06672"/>
    <w:multiLevelType w:val="hybridMultilevel"/>
    <w:tmpl w:val="C008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F7E76"/>
    <w:multiLevelType w:val="hybridMultilevel"/>
    <w:tmpl w:val="5D8049CA"/>
    <w:lvl w:ilvl="0" w:tplc="39F0166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3D19E7"/>
    <w:multiLevelType w:val="hybridMultilevel"/>
    <w:tmpl w:val="EB244958"/>
    <w:lvl w:ilvl="0" w:tplc="DBF4C736">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4E446B"/>
    <w:multiLevelType w:val="hybridMultilevel"/>
    <w:tmpl w:val="218E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C1C68"/>
    <w:multiLevelType w:val="hybridMultilevel"/>
    <w:tmpl w:val="E10E62B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3F171105"/>
    <w:multiLevelType w:val="hybridMultilevel"/>
    <w:tmpl w:val="27C4F8DC"/>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05B29"/>
    <w:multiLevelType w:val="hybridMultilevel"/>
    <w:tmpl w:val="EF5A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4D61625"/>
    <w:multiLevelType w:val="hybridMultilevel"/>
    <w:tmpl w:val="B8423078"/>
    <w:lvl w:ilvl="0" w:tplc="DBF4C736">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4" w15:restartNumberingAfterBreak="0">
    <w:nsid w:val="461E3AAD"/>
    <w:multiLevelType w:val="hybridMultilevel"/>
    <w:tmpl w:val="069A9094"/>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76CF7"/>
    <w:multiLevelType w:val="hybridMultilevel"/>
    <w:tmpl w:val="0A54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96F33"/>
    <w:multiLevelType w:val="hybridMultilevel"/>
    <w:tmpl w:val="73A889E8"/>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7" w15:restartNumberingAfterBreak="0">
    <w:nsid w:val="49E17CF5"/>
    <w:multiLevelType w:val="hybridMultilevel"/>
    <w:tmpl w:val="244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C45B8"/>
    <w:multiLevelType w:val="hybridMultilevel"/>
    <w:tmpl w:val="C438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218F4"/>
    <w:multiLevelType w:val="hybridMultilevel"/>
    <w:tmpl w:val="EBFC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F53A05"/>
    <w:multiLevelType w:val="hybridMultilevel"/>
    <w:tmpl w:val="293ADA7E"/>
    <w:lvl w:ilvl="0" w:tplc="DB4C72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C563C"/>
    <w:multiLevelType w:val="hybridMultilevel"/>
    <w:tmpl w:val="E28CD174"/>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B57DB8"/>
    <w:multiLevelType w:val="hybridMultilevel"/>
    <w:tmpl w:val="7A823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7A63EB"/>
    <w:multiLevelType w:val="hybridMultilevel"/>
    <w:tmpl w:val="75B04458"/>
    <w:lvl w:ilvl="0" w:tplc="8A86D79C">
      <w:start w:val="1"/>
      <w:numFmt w:val="bullet"/>
      <w:pStyle w:val="PolicyBullets"/>
      <w:lvlText w:val=""/>
      <w:lvlJc w:val="left"/>
      <w:pPr>
        <w:ind w:left="502" w:hanging="360"/>
      </w:pPr>
      <w:rPr>
        <w:rFonts w:ascii="Symbol" w:hAnsi="Symbol" w:hint="default"/>
      </w:rPr>
    </w:lvl>
    <w:lvl w:ilvl="1" w:tplc="DBF4C736">
      <w:start w:val="3"/>
      <w:numFmt w:val="bullet"/>
      <w:lvlText w:val="-"/>
      <w:lvlJc w:val="left"/>
      <w:pPr>
        <w:ind w:left="1222" w:hanging="360"/>
      </w:pPr>
      <w:rPr>
        <w:rFonts w:ascii="Arial" w:eastAsia="Times New Roman" w:hAnsi="Arial" w:cs="Aria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561D532D"/>
    <w:multiLevelType w:val="hybridMultilevel"/>
    <w:tmpl w:val="7816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A341BF"/>
    <w:multiLevelType w:val="hybridMultilevel"/>
    <w:tmpl w:val="1D9C4A60"/>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8" w15:restartNumberingAfterBreak="0">
    <w:nsid w:val="5B1866EA"/>
    <w:multiLevelType w:val="hybridMultilevel"/>
    <w:tmpl w:val="2C0E6D7E"/>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81389"/>
    <w:multiLevelType w:val="hybridMultilevel"/>
    <w:tmpl w:val="8B5A92A2"/>
    <w:lvl w:ilvl="0" w:tplc="DB4C723C">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0" w15:restartNumberingAfterBreak="0">
    <w:nsid w:val="618B61FE"/>
    <w:multiLevelType w:val="hybridMultilevel"/>
    <w:tmpl w:val="2E8E4B46"/>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36B4398"/>
    <w:multiLevelType w:val="hybridMultilevel"/>
    <w:tmpl w:val="C08A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D94BC3"/>
    <w:multiLevelType w:val="hybridMultilevel"/>
    <w:tmpl w:val="8C70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3490FE7"/>
    <w:multiLevelType w:val="hybridMultilevel"/>
    <w:tmpl w:val="270EA36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0C6A56"/>
    <w:multiLevelType w:val="hybridMultilevel"/>
    <w:tmpl w:val="FDAE94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850554C"/>
    <w:multiLevelType w:val="hybridMultilevel"/>
    <w:tmpl w:val="2DC2D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511C9F"/>
    <w:multiLevelType w:val="hybridMultilevel"/>
    <w:tmpl w:val="6F0C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021D77"/>
    <w:multiLevelType w:val="hybridMultilevel"/>
    <w:tmpl w:val="0DC0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9B78B1"/>
    <w:multiLevelType w:val="hybridMultilevel"/>
    <w:tmpl w:val="BFACD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286DC6"/>
    <w:multiLevelType w:val="hybridMultilevel"/>
    <w:tmpl w:val="4340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6513C0"/>
    <w:multiLevelType w:val="hybridMultilevel"/>
    <w:tmpl w:val="9CC48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C8D1386"/>
    <w:multiLevelType w:val="hybridMultilevel"/>
    <w:tmpl w:val="534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F463C4"/>
    <w:multiLevelType w:val="hybridMultilevel"/>
    <w:tmpl w:val="2C74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073925"/>
    <w:multiLevelType w:val="hybridMultilevel"/>
    <w:tmpl w:val="DDCA3266"/>
    <w:lvl w:ilvl="0" w:tplc="DB4C72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AA3E69"/>
    <w:multiLevelType w:val="hybridMultilevel"/>
    <w:tmpl w:val="E35256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121902">
    <w:abstractNumId w:val="45"/>
  </w:num>
  <w:num w:numId="2" w16cid:durableId="1373581282">
    <w:abstractNumId w:val="46"/>
  </w:num>
  <w:num w:numId="3" w16cid:durableId="48309855">
    <w:abstractNumId w:val="32"/>
  </w:num>
  <w:num w:numId="4" w16cid:durableId="2103139011">
    <w:abstractNumId w:val="1"/>
  </w:num>
  <w:num w:numId="5" w16cid:durableId="1820464834">
    <w:abstractNumId w:val="37"/>
  </w:num>
  <w:num w:numId="6" w16cid:durableId="1369449620">
    <w:abstractNumId w:val="44"/>
  </w:num>
  <w:num w:numId="7" w16cid:durableId="422073892">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864713620">
    <w:abstractNumId w:val="34"/>
  </w:num>
  <w:num w:numId="9" w16cid:durableId="785932109">
    <w:abstractNumId w:val="41"/>
  </w:num>
  <w:num w:numId="10" w16cid:durableId="680593226">
    <w:abstractNumId w:val="8"/>
  </w:num>
  <w:num w:numId="11" w16cid:durableId="2104957205">
    <w:abstractNumId w:val="9"/>
  </w:num>
  <w:num w:numId="12" w16cid:durableId="684291000">
    <w:abstractNumId w:val="22"/>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63113519">
    <w:abstractNumId w:val="7"/>
  </w:num>
  <w:num w:numId="14" w16cid:durableId="1900827009">
    <w:abstractNumId w:val="21"/>
  </w:num>
  <w:num w:numId="15" w16cid:durableId="965044415">
    <w:abstractNumId w:val="53"/>
  </w:num>
  <w:num w:numId="16" w16cid:durableId="85271116">
    <w:abstractNumId w:val="15"/>
  </w:num>
  <w:num w:numId="17" w16cid:durableId="1453478185">
    <w:abstractNumId w:val="51"/>
  </w:num>
  <w:num w:numId="18" w16cid:durableId="205722463">
    <w:abstractNumId w:val="10"/>
  </w:num>
  <w:num w:numId="19" w16cid:durableId="653221201">
    <w:abstractNumId w:val="38"/>
  </w:num>
  <w:num w:numId="20" w16cid:durableId="1349478341">
    <w:abstractNumId w:val="57"/>
  </w:num>
  <w:num w:numId="21" w16cid:durableId="1534997078">
    <w:abstractNumId w:val="30"/>
  </w:num>
  <w:num w:numId="22" w16cid:durableId="1191266210">
    <w:abstractNumId w:val="20"/>
  </w:num>
  <w:num w:numId="23" w16cid:durableId="925843033">
    <w:abstractNumId w:val="36"/>
  </w:num>
  <w:num w:numId="24" w16cid:durableId="1593784393">
    <w:abstractNumId w:val="17"/>
  </w:num>
  <w:num w:numId="25" w16cid:durableId="1125537218">
    <w:abstractNumId w:val="24"/>
  </w:num>
  <w:num w:numId="26" w16cid:durableId="939994574">
    <w:abstractNumId w:val="19"/>
  </w:num>
  <w:num w:numId="27" w16cid:durableId="2079939309">
    <w:abstractNumId w:val="40"/>
  </w:num>
  <w:num w:numId="28" w16cid:durableId="74284828">
    <w:abstractNumId w:val="31"/>
  </w:num>
  <w:num w:numId="29" w16cid:durableId="727921198">
    <w:abstractNumId w:val="23"/>
  </w:num>
  <w:num w:numId="30" w16cid:durableId="104354826">
    <w:abstractNumId w:val="54"/>
  </w:num>
  <w:num w:numId="31" w16cid:durableId="1085079936">
    <w:abstractNumId w:val="4"/>
  </w:num>
  <w:num w:numId="32" w16cid:durableId="665522520">
    <w:abstractNumId w:val="39"/>
  </w:num>
  <w:num w:numId="33" w16cid:durableId="349263054">
    <w:abstractNumId w:val="26"/>
  </w:num>
  <w:num w:numId="34" w16cid:durableId="1729836684">
    <w:abstractNumId w:val="49"/>
  </w:num>
  <w:num w:numId="35" w16cid:durableId="1155032106">
    <w:abstractNumId w:val="6"/>
  </w:num>
  <w:num w:numId="36" w16cid:durableId="628820995">
    <w:abstractNumId w:val="12"/>
  </w:num>
  <w:num w:numId="37" w16cid:durableId="1571187528">
    <w:abstractNumId w:val="0"/>
  </w:num>
  <w:num w:numId="38" w16cid:durableId="1971550104">
    <w:abstractNumId w:val="13"/>
  </w:num>
  <w:num w:numId="39" w16cid:durableId="432945932">
    <w:abstractNumId w:val="52"/>
  </w:num>
  <w:num w:numId="40" w16cid:durableId="918832325">
    <w:abstractNumId w:val="25"/>
  </w:num>
  <w:num w:numId="41" w16cid:durableId="723255330">
    <w:abstractNumId w:val="2"/>
  </w:num>
  <w:num w:numId="42" w16cid:durableId="1893541514">
    <w:abstractNumId w:val="58"/>
  </w:num>
  <w:num w:numId="43" w16cid:durableId="346292628">
    <w:abstractNumId w:val="18"/>
  </w:num>
  <w:num w:numId="44" w16cid:durableId="1719746227">
    <w:abstractNumId w:val="50"/>
  </w:num>
  <w:num w:numId="45" w16cid:durableId="1123620558">
    <w:abstractNumId w:val="43"/>
  </w:num>
  <w:num w:numId="46" w16cid:durableId="242615031">
    <w:abstractNumId w:val="48"/>
  </w:num>
  <w:num w:numId="47" w16cid:durableId="14961610">
    <w:abstractNumId w:val="11"/>
  </w:num>
  <w:num w:numId="48" w16cid:durableId="215288905">
    <w:abstractNumId w:val="27"/>
  </w:num>
  <w:num w:numId="49" w16cid:durableId="412625535">
    <w:abstractNumId w:val="42"/>
  </w:num>
  <w:num w:numId="50" w16cid:durableId="455874407">
    <w:abstractNumId w:val="3"/>
  </w:num>
  <w:num w:numId="51" w16cid:durableId="916863244">
    <w:abstractNumId w:val="33"/>
  </w:num>
  <w:num w:numId="52" w16cid:durableId="296376171">
    <w:abstractNumId w:val="5"/>
  </w:num>
  <w:num w:numId="53" w16cid:durableId="1717700996">
    <w:abstractNumId w:val="47"/>
  </w:num>
  <w:num w:numId="54" w16cid:durableId="916280402">
    <w:abstractNumId w:val="28"/>
  </w:num>
  <w:num w:numId="55" w16cid:durableId="810828258">
    <w:abstractNumId w:val="14"/>
  </w:num>
  <w:num w:numId="56" w16cid:durableId="460736165">
    <w:abstractNumId w:val="29"/>
  </w:num>
  <w:num w:numId="57" w16cid:durableId="1607421671">
    <w:abstractNumId w:val="56"/>
  </w:num>
  <w:num w:numId="58" w16cid:durableId="883753591">
    <w:abstractNumId w:val="35"/>
  </w:num>
  <w:num w:numId="59" w16cid:durableId="275791382">
    <w:abstractNumId w:val="16"/>
  </w:num>
  <w:num w:numId="60" w16cid:durableId="129712517">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5E9"/>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B41"/>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7EA"/>
    <w:rsid w:val="00065C6B"/>
    <w:rsid w:val="000717B5"/>
    <w:rsid w:val="00074C8C"/>
    <w:rsid w:val="00080091"/>
    <w:rsid w:val="00080783"/>
    <w:rsid w:val="00082668"/>
    <w:rsid w:val="00086F03"/>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4717"/>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3993"/>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0363"/>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028"/>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3C6D"/>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7F31"/>
    <w:rsid w:val="00220DF6"/>
    <w:rsid w:val="00223D79"/>
    <w:rsid w:val="00224677"/>
    <w:rsid w:val="002255EF"/>
    <w:rsid w:val="002266F3"/>
    <w:rsid w:val="00230DE8"/>
    <w:rsid w:val="002317E1"/>
    <w:rsid w:val="002333A7"/>
    <w:rsid w:val="00234463"/>
    <w:rsid w:val="002367D1"/>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57E31"/>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147"/>
    <w:rsid w:val="002A0C00"/>
    <w:rsid w:val="002A2040"/>
    <w:rsid w:val="002A3C43"/>
    <w:rsid w:val="002A43B2"/>
    <w:rsid w:val="002A7758"/>
    <w:rsid w:val="002B016F"/>
    <w:rsid w:val="002B0F16"/>
    <w:rsid w:val="002B433F"/>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4376"/>
    <w:rsid w:val="00375887"/>
    <w:rsid w:val="00375B19"/>
    <w:rsid w:val="00375EB1"/>
    <w:rsid w:val="0037681B"/>
    <w:rsid w:val="00380EDD"/>
    <w:rsid w:val="00382ADF"/>
    <w:rsid w:val="00382B82"/>
    <w:rsid w:val="00383051"/>
    <w:rsid w:val="003836AD"/>
    <w:rsid w:val="00384617"/>
    <w:rsid w:val="00384699"/>
    <w:rsid w:val="003850D8"/>
    <w:rsid w:val="003871DE"/>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BC8"/>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BFC"/>
    <w:rsid w:val="00522DC2"/>
    <w:rsid w:val="005237F3"/>
    <w:rsid w:val="00525284"/>
    <w:rsid w:val="005267A5"/>
    <w:rsid w:val="00527497"/>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4C3B"/>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B5"/>
    <w:rsid w:val="00686EE1"/>
    <w:rsid w:val="0068728F"/>
    <w:rsid w:val="00690EE4"/>
    <w:rsid w:val="00691E7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311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21CA"/>
    <w:rsid w:val="008067A3"/>
    <w:rsid w:val="00810848"/>
    <w:rsid w:val="0081285C"/>
    <w:rsid w:val="00812E2E"/>
    <w:rsid w:val="00812FA0"/>
    <w:rsid w:val="00813091"/>
    <w:rsid w:val="008137B1"/>
    <w:rsid w:val="0081467A"/>
    <w:rsid w:val="00815FD4"/>
    <w:rsid w:val="00820075"/>
    <w:rsid w:val="00822620"/>
    <w:rsid w:val="00822CB1"/>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0B"/>
    <w:rsid w:val="008521DD"/>
    <w:rsid w:val="0085312F"/>
    <w:rsid w:val="008534A5"/>
    <w:rsid w:val="00853949"/>
    <w:rsid w:val="00854F34"/>
    <w:rsid w:val="00857363"/>
    <w:rsid w:val="00857C89"/>
    <w:rsid w:val="00860430"/>
    <w:rsid w:val="00862A08"/>
    <w:rsid w:val="0086446B"/>
    <w:rsid w:val="00865449"/>
    <w:rsid w:val="0086646A"/>
    <w:rsid w:val="00866B3B"/>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1F2"/>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046C"/>
    <w:rsid w:val="00A82E67"/>
    <w:rsid w:val="00A83249"/>
    <w:rsid w:val="00A838EF"/>
    <w:rsid w:val="00A840FA"/>
    <w:rsid w:val="00A8675F"/>
    <w:rsid w:val="00A90EEE"/>
    <w:rsid w:val="00A9338C"/>
    <w:rsid w:val="00A95D54"/>
    <w:rsid w:val="00AA0378"/>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D6E"/>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B67"/>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890"/>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283F"/>
    <w:rsid w:val="00BB3986"/>
    <w:rsid w:val="00BB43D1"/>
    <w:rsid w:val="00BB5571"/>
    <w:rsid w:val="00BB6A69"/>
    <w:rsid w:val="00BB7263"/>
    <w:rsid w:val="00BB7CCC"/>
    <w:rsid w:val="00BC018F"/>
    <w:rsid w:val="00BC061C"/>
    <w:rsid w:val="00BC0C77"/>
    <w:rsid w:val="00BC0FA8"/>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1A99"/>
    <w:rsid w:val="00C4505C"/>
    <w:rsid w:val="00C50E27"/>
    <w:rsid w:val="00C51A46"/>
    <w:rsid w:val="00C53416"/>
    <w:rsid w:val="00C5369D"/>
    <w:rsid w:val="00C54B21"/>
    <w:rsid w:val="00C55C33"/>
    <w:rsid w:val="00C562AD"/>
    <w:rsid w:val="00C570D7"/>
    <w:rsid w:val="00C57B8B"/>
    <w:rsid w:val="00C61466"/>
    <w:rsid w:val="00C621F2"/>
    <w:rsid w:val="00C652E7"/>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2E42"/>
    <w:rsid w:val="00C83EDE"/>
    <w:rsid w:val="00C8446D"/>
    <w:rsid w:val="00C844C8"/>
    <w:rsid w:val="00C869E2"/>
    <w:rsid w:val="00C8723B"/>
    <w:rsid w:val="00C90FE4"/>
    <w:rsid w:val="00C91830"/>
    <w:rsid w:val="00C91A05"/>
    <w:rsid w:val="00C91B18"/>
    <w:rsid w:val="00C91BAD"/>
    <w:rsid w:val="00C92911"/>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6723"/>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84C"/>
    <w:rsid w:val="00DC7D97"/>
    <w:rsid w:val="00DC7ED7"/>
    <w:rsid w:val="00DD1AB5"/>
    <w:rsid w:val="00DD3C82"/>
    <w:rsid w:val="00DD3D7E"/>
    <w:rsid w:val="00DD480B"/>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0930"/>
    <w:rsid w:val="00E046BE"/>
    <w:rsid w:val="00E0759D"/>
    <w:rsid w:val="00E145A1"/>
    <w:rsid w:val="00E14F08"/>
    <w:rsid w:val="00E15CD2"/>
    <w:rsid w:val="00E15ECB"/>
    <w:rsid w:val="00E1780F"/>
    <w:rsid w:val="00E20992"/>
    <w:rsid w:val="00E228D7"/>
    <w:rsid w:val="00E22B1B"/>
    <w:rsid w:val="00E23C56"/>
    <w:rsid w:val="00E250A6"/>
    <w:rsid w:val="00E2621F"/>
    <w:rsid w:val="00E30E04"/>
    <w:rsid w:val="00E3160D"/>
    <w:rsid w:val="00E348E5"/>
    <w:rsid w:val="00E3570C"/>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5B3C"/>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963A9"/>
    <w:rsid w:val="00EA0E97"/>
    <w:rsid w:val="00EA1182"/>
    <w:rsid w:val="00EA33C1"/>
    <w:rsid w:val="00EA39E1"/>
    <w:rsid w:val="00EA3A46"/>
    <w:rsid w:val="00EA55C9"/>
    <w:rsid w:val="00EA743B"/>
    <w:rsid w:val="00EA7499"/>
    <w:rsid w:val="00EB0621"/>
    <w:rsid w:val="00EB441B"/>
    <w:rsid w:val="00EB5586"/>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5B17"/>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537D"/>
    <w:rsid w:val="00F66720"/>
    <w:rsid w:val="00F67F3D"/>
    <w:rsid w:val="00F70D10"/>
    <w:rsid w:val="00F715D1"/>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19C"/>
    <w:rsid w:val="00FE379A"/>
    <w:rsid w:val="00FE601F"/>
    <w:rsid w:val="00FE606D"/>
    <w:rsid w:val="00FE79EC"/>
    <w:rsid w:val="00FF07B6"/>
    <w:rsid w:val="00FF1F46"/>
    <w:rsid w:val="00FF384E"/>
    <w:rsid w:val="00FF517C"/>
    <w:rsid w:val="00FF5992"/>
    <w:rsid w:val="00FF6527"/>
    <w:rsid w:val="00FF6767"/>
    <w:rsid w:val="00FF6E0F"/>
    <w:rsid w:val="00FF7B72"/>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E6D6E"/>
    <w:pPr>
      <w:numPr>
        <w:numId w:val="59"/>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E6D6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link w:val="PolicyLevel3Char"/>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PlaceholderText">
    <w:name w:val="Placeholder Text"/>
    <w:basedOn w:val="DefaultParagraphFont"/>
    <w:uiPriority w:val="99"/>
    <w:semiHidden/>
    <w:rsid w:val="00A95D54"/>
    <w:rPr>
      <w:color w:val="808080"/>
    </w:rPr>
  </w:style>
  <w:style w:type="character" w:customStyle="1" w:styleId="PolicyLevel3Char">
    <w:name w:val="Policy Level 3 Char"/>
    <w:basedOn w:val="Style2Char"/>
    <w:link w:val="PolicyLevel3"/>
    <w:rsid w:val="00A95D54"/>
    <w:rPr>
      <w:rFonts w:asciiTheme="majorHAnsi" w:hAnsiTheme="majorHAnsi" w:cstheme="minorHAnsi"/>
      <w:b w:val="0"/>
      <w:sz w:val="28"/>
      <w:szCs w:val="32"/>
    </w:rPr>
  </w:style>
  <w:style w:type="character" w:customStyle="1" w:styleId="Mention1">
    <w:name w:val="Mention1"/>
    <w:basedOn w:val="DefaultParagraphFont"/>
    <w:uiPriority w:val="99"/>
    <w:semiHidden/>
    <w:unhideWhenUsed/>
    <w:rsid w:val="00A95D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52779064">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31643610">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76673516">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5399032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e3d2a95a15b02f6a2eac5b37df6df356">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d0eabb445bc09c530b29abecb91e6ca"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BB0A-E764-4BD1-838A-4945540D340E}">
  <ds:schemaRefs>
    <ds:schemaRef ds:uri="http://schemas.microsoft.com/sharepoint/v3/contenttype/forms"/>
  </ds:schemaRefs>
</ds:datastoreItem>
</file>

<file path=customXml/itemProps2.xml><?xml version="1.0" encoding="utf-8"?>
<ds:datastoreItem xmlns:ds="http://schemas.openxmlformats.org/officeDocument/2006/customXml" ds:itemID="{D6DE477A-6F76-4991-A368-F36020EA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4E60-E037-4CBA-B878-4BBDD069BD5A}">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DB2FF094-54BB-490C-89E8-01873EEA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3144</Words>
  <Characters>16763</Characters>
  <Application>Microsoft Office Word</Application>
  <DocSecurity>0</DocSecurity>
  <Lines>364</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S.Sly</cp:lastModifiedBy>
  <cp:revision>7</cp:revision>
  <dcterms:created xsi:type="dcterms:W3CDTF">2023-03-22T16:32:00Z</dcterms:created>
  <dcterms:modified xsi:type="dcterms:W3CDTF">2026-02-23T13:27:00Z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1580800</vt:r8>
  </property>
  <property fmtid="{D5CDD505-2E9C-101B-9397-08002B2CF9AE}" pid="4" name="MediaServiceImageTags">
    <vt:lpwstr/>
  </property>
</Properties>
</file>